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inicial"/>
    <w:p>
      <w:pPr>
        <w:pStyle w:val="Heading1"/>
      </w:pPr>
      <w:r>
        <w:t xml:space="preserve">Boletín de Switching y VLAN — Inicial</w:t>
      </w:r>
    </w:p>
    <w:bookmarkEnd w:id="20"/>
    <w:bookmarkStart w:id="29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Inunda por todos los puertos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Asignar el puerto a la VLAN 10</w:t>
            </w:r>
          </w:p>
        </w:tc>
      </w:tr>
    </w:tbl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2026-10-13T07:37:44Z</dcterms:created>
  <dcterms:modified xsi:type="dcterms:W3CDTF">2026-10-13T07:37:44Z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