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trunking-e-inter-vlan-inicial"/>
    <w:p>
      <w:pPr>
        <w:pStyle w:val="Heading1"/>
      </w:pPr>
      <w:r>
        <w:t xml:space="preserve">Boletín de Trunking e inter-VLAN — Inicial</w:t>
      </w:r>
    </w:p>
    <w:bookmarkEnd w:id="20"/>
    <w:bookmarkStart w:id="29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Sin etiquetar en el trunk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subinterfaz para VLAN 10</w:t>
            </w:r>
          </w:p>
        </w:tc>
      </w:tr>
    </w:tbl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2026-10-13T07:37:47Z</dcterms:created>
  <dcterms:modified xsi:type="dcterms:W3CDTF">2026-10-13T07:37:47Z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