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inicial"/>
    <w:p>
      <w:pPr>
        <w:pStyle w:val="Heading1"/>
      </w:pPr>
      <w:r>
        <w:t xml:space="preserve">Boletín de Direccionamiento IP — Inicial</w:t>
      </w:r>
    </w:p>
    <w:bookmarkEnd w:id="9"/>
    <w:bookmarkStart w:id="21" w:name="boletín-de-direccionamiento-ip-inicial-1"/>
    <w:p>
      <w:pPr>
        <w:pStyle w:val="Heading1"/>
      </w:pPr>
      <w:r>
        <w:t xml:space="preserve">📝 Boletín de Direccionamiento IP — Inicial</w:t>
      </w:r>
    </w:p>
    <w:p>
      <w:pPr>
        <w:pStyle w:val="BlockText"/>
      </w:pPr>
      <w: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FirstParagraph"/>
      </w:pPr>
      <w: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t xml:space="preserve">192</w:t>
      </w:r>
    </w:p>
    <w:p>
      <w:pPr>
        <w:pStyle w:val="Compact"/>
        <w:numPr>
          <w:ilvl w:val="0"/>
          <w:numId w:val="1001"/>
        </w:numPr>
      </w:pPr>
      <w:r>
        <w:t xml:space="preserve">10</w:t>
      </w:r>
    </w:p>
    <w:p>
      <w:pPr>
        <w:pStyle w:val="Compact"/>
        <w:numPr>
          <w:ilvl w:val="0"/>
          <w:numId w:val="1001"/>
        </w:numPr>
      </w:pPr>
      <w:r>
        <w:t xml:space="preserve">255</w:t>
      </w:r>
    </w:p>
    <w:p>
      <w:pPr>
        <w:pStyle w:val="Compact"/>
        <w:numPr>
          <w:ilvl w:val="0"/>
          <w:numId w:val="1001"/>
        </w:numPr>
      </w:pPr>
      <w:r>
        <w:t xml:space="preserve">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FirstParagraph"/>
      </w:pPr>
      <w: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t xml:space="preserve">11000000</w:t>
      </w:r>
    </w:p>
    <w:p>
      <w:pPr>
        <w:pStyle w:val="Compact"/>
        <w:numPr>
          <w:ilvl w:val="0"/>
          <w:numId w:val="1002"/>
        </w:numPr>
      </w:pPr>
      <w:r>
        <w:t xml:space="preserve">10101000</w:t>
      </w:r>
    </w:p>
    <w:p>
      <w:pPr>
        <w:pStyle w:val="Compact"/>
        <w:numPr>
          <w:ilvl w:val="0"/>
          <w:numId w:val="1002"/>
        </w:numPr>
      </w:pPr>
      <w:r>
        <w:t xml:space="preserve">00001010</w:t>
      </w:r>
    </w:p>
    <w:p>
      <w:pPr>
        <w:pStyle w:val="Compact"/>
        <w:numPr>
          <w:ilvl w:val="0"/>
          <w:numId w:val="1002"/>
        </w:numPr>
      </w:pPr>
      <w:r>
        <w:t xml:space="preserve">11111111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Relaciona la notación CIDR con la máscara decimal (escribe la letra):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Letra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255.255.0.0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255.0.0.0</w:t>
            </w:r>
          </w:p>
        </w:tc>
      </w:tr>
    </w:tbl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t xml:space="preserve">Las IPs privadas pueden viajar por Internet.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FirstParagraph"/>
      </w:pPr>
      <w: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t xml:space="preserve">/24</w:t>
      </w:r>
    </w:p>
    <w:p>
      <w:pPr>
        <w:pStyle w:val="Compact"/>
        <w:numPr>
          <w:ilvl w:val="0"/>
          <w:numId w:val="1004"/>
        </w:numPr>
      </w:pPr>
      <w:r>
        <w:t xml:space="preserve">/27</w:t>
      </w:r>
    </w:p>
    <w:p>
      <w:pPr>
        <w:pStyle w:val="Compact"/>
        <w:numPr>
          <w:ilvl w:val="0"/>
          <w:numId w:val="1004"/>
        </w:numPr>
      </w:pPr>
      <w:r>
        <w:t xml:space="preserve">/30</w:t>
      </w:r>
    </w:p>
    <w:p>
      <w:pPr>
        <w:pStyle w:val="Compact"/>
        <w:numPr>
          <w:ilvl w:val="0"/>
          <w:numId w:val="1004"/>
        </w:numPr>
      </w:pPr>
      <w:r>
        <w:t xml:space="preserve">/29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FirstParagraph"/>
      </w:pPr>
      <w: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t xml:space="preserve">10.0.0.15</w:t>
      </w:r>
    </w:p>
    <w:p>
      <w:pPr>
        <w:pStyle w:val="Compact"/>
        <w:numPr>
          <w:ilvl w:val="0"/>
          <w:numId w:val="1005"/>
        </w:numPr>
      </w:pPr>
      <w:r>
        <w:t xml:space="preserve">8.8.8.8</w:t>
      </w:r>
    </w:p>
    <w:p>
      <w:pPr>
        <w:pStyle w:val="Compact"/>
        <w:numPr>
          <w:ilvl w:val="0"/>
          <w:numId w:val="1005"/>
        </w:numPr>
      </w:pPr>
      <w:r>
        <w:t xml:space="preserve">192.168.1.1</w:t>
      </w:r>
    </w:p>
    <w:p>
      <w:pPr>
        <w:pStyle w:val="Compact"/>
        <w:numPr>
          <w:ilvl w:val="0"/>
          <w:numId w:val="1005"/>
        </w:numPr>
      </w:pPr>
      <w:r>
        <w:t xml:space="preserve">127.0.0.1</w:t>
      </w:r>
    </w:p>
    <w:p>
      <w:pPr>
        <w:pStyle w:val="Compact"/>
        <w:numPr>
          <w:ilvl w:val="0"/>
          <w:numId w:val="1005"/>
        </w:numPr>
      </w:pPr>
      <w:r>
        <w:t xml:space="preserve">172.16.0.100</w:t>
      </w:r>
    </w:p>
    <w:p>
      <w:pPr>
        <w:pStyle w:val="Compact"/>
        <w:numPr>
          <w:ilvl w:val="0"/>
          <w:numId w:val="1005"/>
        </w:numPr>
      </w:pPr>
      <w:r>
        <w:t xml:space="preserve">169.254.1.1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FirstParagraph"/>
      </w:pPr>
      <w:r>
        <w:t xml:space="preserve">Para cada par de IP y máscara, haz 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bit a bit y di cuál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t xml:space="preserve">IP: 192.168.1.66 · Máscara: 255.255.255.192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pasa el octeto</w:t>
      </w:r>
      <w:r>
        <w:t xml:space="preserve"> </w:t>
      </w:r>
      <w:r>
        <w:t xml:space="preserve">“mágico”</w:t>
      </w:r>
      <w:r>
        <w:t xml:space="preserve"> </w:t>
      </w:r>
      <w: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FirstParagraph"/>
      </w:pPr>
      <w:r>
        <w:t xml:space="preserve">Divide la red</w:t>
      </w:r>
      <w:r>
        <w:t xml:space="preserve"> </w:t>
      </w:r>
      <w:r>
        <w:rPr>
          <w:b/>
          <w:bCs/>
        </w:rPr>
        <w:t xml:space="preserve">192.168.5.0/24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4 subredes del mismo tamaño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t xml:space="preserve">Enumera las 4 direcciones de red con su rango de hosts.</w:t>
      </w:r>
    </w:p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t xml:space="preserve">Relaciona cada campo de la cabecera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TTL</w:t>
            </w:r>
          </w:p>
        </w:tc>
        <w:tc>
          <w:tcPr/>
          <w:p>
            <w:pPr>
              <w:pStyle w:val="Compact"/>
            </w:pPr>
            <w: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Protocolo</w:t>
            </w:r>
          </w:p>
        </w:tc>
        <w:tc>
          <w:tcPr/>
          <w:p>
            <w:pPr>
              <w:pStyle w:val="Compact"/>
            </w:pPr>
            <w: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IP origen / destino</w:t>
            </w:r>
          </w:p>
        </w:tc>
        <w:tc>
          <w:tcPr/>
          <w:p>
            <w:pPr>
              <w:pStyle w:val="Compact"/>
            </w:pPr>
            <w: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Offset + flags MF</w:t>
            </w:r>
          </w:p>
        </w:tc>
        <w:tc>
          <w:tcPr/>
          <w:p>
            <w:pPr>
              <w:pStyle w:val="Compact"/>
            </w:pPr>
            <w:r>
              <w:t xml:space="preserve">d) Coordinan la fragmentación y el reensamblado</w:t>
            </w:r>
          </w:p>
        </w:tc>
      </w:tr>
    </w:tbl>
    <w:p>
      <w:pPr>
        <w:pStyle w:val="BodyText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t xml:space="preserve">TTL evita bucles de rutas indefinidas.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FirstParagraph"/>
      </w:pPr>
      <w:r>
        <w:t xml:space="preserve">Una PC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hacer ping a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t xml:space="preserve">¿ARP resuelve IP→MAC o MAC→IP?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FirstParagraph"/>
      </w:pPr>
      <w:r>
        <w:t xml:space="preserve">Un host envía un datagrama IPv4 de</w:t>
      </w:r>
      <w:r>
        <w:t xml:space="preserve"> </w:t>
      </w:r>
      <w:r>
        <w:rPr>
          <w:b/>
          <w:bCs/>
        </w:rPr>
        <w:t xml:space="preserve">4000 bytes de datos</w:t>
      </w:r>
      <w:r>
        <w:t xml:space="preserve"> </w:t>
      </w:r>
      <w:r>
        <w:t xml:space="preserve">+ 20 de cabecera por un enlace con</w:t>
      </w:r>
      <w:r>
        <w:t xml:space="preserve"> </w:t>
      </w:r>
      <w:r>
        <w:rPr>
          <w:b/>
          <w:bCs/>
        </w:rPr>
        <w:t xml:space="preserve">MTU 1500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t xml:space="preserve">¿Quién reensambla: el router intermedio o el host destino?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2026-09-27T10:46:56Z</dcterms:created>
  <dcterms:modified xsi:type="dcterms:W3CDTF">2026-09-27T10:46:56Z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