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medios-y-cableado-avanzado"/>
    <w:p>
      <w:pPr>
        <w:pStyle w:val="Heading1"/>
      </w:pPr>
      <w:r>
        <w:t xml:space="preserve">Boletín de Medios y cableado — Avanzado</w:t>
      </w:r>
    </w:p>
    <w:bookmarkEnd w:id="9"/>
    <w:bookmarkStart w:id="17" w:name="boletín-de-medios-y-cableado-avanzado-1"/>
    <w:p>
      <w:pPr>
        <w:pStyle w:val="Heading1"/>
      </w:pPr>
      <w:r>
        <w:t xml:space="preserve">📝 Boletín de Medios y cableado — Avanzado</w:t>
      </w:r>
    </w:p>
    <w:p>
      <w:pPr>
        <w:pStyle w:val="BlockText"/>
      </w:pPr>
      <w:r>
        <w:t xml:space="preserve">Ejercicios que requieren aplicar los conceptos de cableado y medios físicos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2026-10-12T19:55:18Z</dcterms:created>
  <dcterms:modified xsi:type="dcterms:W3CDTF">2026-10-12T19:55:18Z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