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avanzado"/>
    <w:p>
      <w:pPr>
        <w:pStyle w:val="Heading1"/>
      </w:pPr>
      <w:r>
        <w:t xml:space="preserve">Boletín de Direccionamiento IP — Avanzado</w:t>
      </w:r>
    </w:p>
    <w:bookmarkEnd w:id="20"/>
    <w:bookmarkStart w:id="31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</w:t>
      </w:r>
      <w:r>
        <w:t xml:space="preserve">ping</w:t>
      </w:r>
      <w:r>
        <w:t xml:space="preserve">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who has 192.168.1.1? Tell 192.168.1.50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</w:t>
      </w:r>
      <w:r>
        <w:t xml:space="preserve">salir a Internet</w:t>
      </w:r>
      <w:r>
        <w:t xml:space="preserve">”</w:t>
      </w:r>
      <w:r>
        <w:t xml:space="preserve"> </w:t>
      </w:r>
      <w:r>
        <w:t xml:space="preserve">es otra capa.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