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"/>
    <w:p>
      <w:pPr>
        <w:pStyle w:val="Heading1"/>
      </w:pPr>
      <w:r>
        <w:t xml:space="preserve">Boletín de OSPF — Inicial</w:t>
      </w:r>
    </w:p>
    <w:bookmarkEnd w:id="20"/>
    <w:bookmarkStart w:id="29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Algoritmo de cálculo de rutas</w:t>
            </w:r>
          </w:p>
        </w:tc>
      </w:tr>
    </w:tbl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ASBR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Todas sus interfaces en la misma área</w:t>
            </w:r>
          </w:p>
        </w:tc>
      </w:tr>
    </w:tbl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2026-10-13T10:42:21Z</dcterms:created>
  <dcterms:modified xsi:type="dcterms:W3CDTF">2026-10-13T10:42:21Z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