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nat-y-pat-avanzado"/>
    <w:p>
      <w:pPr>
        <w:pStyle w:val="Heading1"/>
      </w:pPr>
      <w:r>
        <w:t xml:space="preserve">Boletín de NAT y PAT — Avanzado</w:t>
      </w:r>
    </w:p>
    <w:bookmarkEnd w:id="20"/>
    <w:bookmarkStart w:id="29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21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</w:tr>
    </w:tbl>
    <w:bookmarkEnd w:id="21"/>
    <w:bookmarkStart w:id="22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22"/>
    <w:bookmarkStart w:id="23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23"/>
    <w:bookmarkStart w:id="24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24"/>
    <w:bookmarkStart w:id="25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25"/>
    <w:bookmarkStart w:id="26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26"/>
    <w:bookmarkStart w:id="27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27"/>
    <w:bookmarkStart w:id="28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</w:t>
      </w:r>
      <w:r>
        <w:t xml:space="preserve">no salimos a Internet</w:t>
      </w:r>
      <w:r>
        <w:t xml:space="preserve">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2026-10-13T10:42:22Z</dcterms:created>
  <dcterms:modified xsi:type="dcterms:W3CDTF">2026-10-13T10:42:22Z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