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cl-y-seguridad-avanzado"/>
    <w:p>
      <w:pPr>
        <w:pStyle w:val="Heading1"/>
      </w:pPr>
      <w:r>
        <w:t xml:space="preserve">Boletín de ACL y seguridad — Avanzado</w:t>
      </w:r>
    </w:p>
    <w:bookmarkEnd w:id="20"/>
    <w:bookmarkStart w:id="31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21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21"/>
    <w:bookmarkStart w:id="22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192.168.1.0/24), sentido</w:t>
      </w:r>
      <w:r>
        <w:t xml:space="preserve"> </w:t>
      </w:r>
      <w:r>
        <w:rPr>
          <w:b/>
          <w:bCs/>
        </w:rPr>
        <w:t xml:space="preserve">in</w:t>
      </w:r>
      <w:r>
        <w:t xml:space="preserve"> </w:t>
      </w:r>
      <w:r>
        <w:t xml:space="preserve">(hacia el router):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22"/>
    <w:bookmarkStart w:id="23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el retorno de las conexiones TCP establecidas (tráfico de retorno)</w:t>
      </w:r>
      <w:r>
        <w:t xml:space="preserve"> </w:t>
      </w:r>
      <w:r>
        <w:t xml:space="preserve">5. Permitir también las respuestas DNS entrantes (UDP con puerto de origen 53)</w:t>
      </w:r>
      <w:r>
        <w:t xml:space="preserve"> </w:t>
      </w:r>
      <w:r>
        <w:t xml:space="preserve">6.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el retorno TCP; las respuestas DNS no son TCP y necesitan su propia línea UDP.</w:t>
      </w:r>
    </w:p>
    <w:bookmarkEnd w:id="23"/>
    <w:bookmarkStart w:id="24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24"/>
    <w:bookmarkStart w:id="25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25"/>
    <w:bookmarkStart w:id="26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(192.168.100.0/24), sin cortar el ping de diagnóstico.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26"/>
    <w:bookmarkStart w:id="27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27"/>
    <w:bookmarkStart w:id="28" w:name="diagnóstico-de-port-security"/>
    <w:p>
      <w:pPr>
        <w:pStyle w:val="Heading2"/>
      </w:pPr>
      <w:r>
        <w:t xml:space="preserve">8. Diagnóstico de port security</w:t>
      </w:r>
    </w:p>
    <w:p>
      <w:pPr>
        <w:pStyle w:val="FirstParagraph"/>
      </w:pPr>
      <w:r>
        <w:t xml:space="preserve">Un administrador configuró port security en el puerto Fa0/1: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6"/>
        </w:numPr>
      </w:pPr>
      <w:r>
        <w:t xml:space="preserve">¿Cómo recuperas el puerto?</w:t>
      </w:r>
    </w:p>
    <w:bookmarkEnd w:id="28"/>
    <w:bookmarkStart w:id="29" w:name="Xec7884ac2ad1ffd996301628f2a85de9f6be052"/>
    <w:p>
      <w:pPr>
        <w:pStyle w:val="Heading2"/>
      </w:pPr>
      <w:r>
        <w:t xml:space="preserve">9.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07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07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07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08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08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08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</w:t>
      </w:r>
      <w:r>
        <w:t xml:space="preserve">conocidas</w:t>
      </w:r>
      <w:r>
        <w:t xml:space="preserve">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29"/>
    <w:bookmarkStart w:id="30" w:name="mini-caso-final"/>
    <w:p>
      <w:pPr>
        <w:pStyle w:val="Heading2"/>
      </w:pPr>
      <w:r>
        <w:t xml:space="preserve">10.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</w:t>
      </w:r>
      <w:r>
        <w:t xml:space="preserve">la sala de profesores (192.168.10.0/24) no puede usar el WiFi de alumnos (192.168.20.0/24), pero ambos deben salir a Internet (G0/2 del router) y los profesores acceden al servidor de notas (10.0.0.5) por HTTPS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9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9"/>
        </w:numPr>
      </w:pPr>
      <w:r>
        <w:t xml:space="preserve">¿Qué le dirías al director si pide</w:t>
      </w:r>
      <w:r>
        <w:t xml:space="preserve"> </w:t>
      </w:r>
      <w:r>
        <w:t xml:space="preserve">“</w:t>
      </w:r>
      <w:r>
        <w:t xml:space="preserve">bloquear YouTube por completo</w:t>
      </w:r>
      <w:r>
        <w:t xml:space="preserve">”</w:t>
      </w:r>
      <w:r>
        <w:t xml:space="preserve">? (reflexiona: ACLs vs herramientas adecuadas)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2026-10-13T10:42:23Z</dcterms:created>
  <dcterms:modified xsi:type="dcterms:W3CDTF">2026-10-13T10:42:23Z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