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Ethernet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RA2·a)</w:t>
            </w:r>
          </w:p>
        </w:tc>
        <w:tc>
          <w:tcPr/>
          <w:p>
            <w:pPr>
              <w:pStyle w:val="Compact"/>
            </w:pPr>
            <w:r>
              <w:t xml:space="preserve">Se han identificado los estándares para redes cableadas e inalámbricas</w:t>
            </w:r>
          </w:p>
        </w:tc>
        <w:tc>
          <w:tcPr/>
          <w:p>
            <w:pPr>
              <w:pStyle w:val="Compact"/>
            </w:pPr>
            <w:r>
              <w:t xml:space="preserve">✅ Puntos 1, 3 y 5</w:t>
            </w:r>
          </w:p>
        </w:tc>
      </w:tr>
      <w:tr>
        <w:tc>
          <w:tcPr/>
          <w:p>
            <w:pPr>
              <w:pStyle w:val="Compact"/>
            </w:pPr>
            <w:r>
              <w:t xml:space="preserve">RA2·e)</w:t>
            </w:r>
          </w:p>
        </w:tc>
        <w:tc>
          <w:tcPr/>
          <w:p>
            <w:pPr>
              <w:pStyle w:val="Compact"/>
            </w:pPr>
            <w:r>
              <w:t xml:space="preserve">Se han configurado adaptadores de red cableados e inalámbricos bajo distintos sistemas operativos</w:t>
            </w:r>
          </w:p>
        </w:tc>
        <w:tc>
          <w:tcPr/>
          <w:p>
            <w:pPr>
              <w:pStyle w:val="Compact"/>
            </w:pPr>
            <w:r>
              <w:t xml:space="preserve">✅ Punto 8 (adaptadores) + ⚡ Laboratorio (punto 9)</w:t>
            </w:r>
          </w:p>
        </w:tc>
      </w:tr>
      <w:tr>
        <w:tc>
          <w:tcPr/>
          <w:p>
            <w:pPr>
              <w:pStyle w:val="Compact"/>
            </w:pPr>
            <w:r>
              <w:t xml:space="preserve">RA2·f)</w:t>
            </w:r>
          </w:p>
        </w:tc>
        <w:tc>
          <w:tcPr/>
          <w:p>
            <w:pPr>
              <w:pStyle w:val="Compact"/>
            </w:pPr>
            <w:r>
              <w:t xml:space="preserve">Se han integrado dispositivos en redes cableadas e inalámbricas</w:t>
            </w:r>
          </w:p>
        </w:tc>
        <w:tc>
          <w:tcPr/>
          <w:p>
            <w:pPr>
              <w:pStyle w:val="Compact"/>
            </w:pPr>
            <w:r>
              <w:t xml:space="preserve">✅ Puntos 4, 7 y 8 + ⚡ Laboratorio (punto 9)</w:t>
            </w:r>
          </w:p>
        </w:tc>
      </w:tr>
      <w:tr>
        <w:tc>
          <w:tcPr/>
          <w:p>
            <w:pPr>
              <w:pStyle w:val="Compact"/>
            </w:pPr>
            <w:r>
              <w:t xml:space="preserve">RA2·g)</w:t>
            </w:r>
          </w:p>
        </w:tc>
        <w:tc>
          <w:tcPr/>
          <w:p>
            <w:pPr>
              <w:pStyle w:val="Compact"/>
            </w:pPr>
            <w:r>
              <w:t xml:space="preserve">Se ha comprobado la conectividad entre diversos dispositivos y adaptadores inalámbricos sobre distintas configuraciones</w:t>
            </w:r>
          </w:p>
        </w:tc>
        <w:tc>
          <w:tcPr/>
          <w:p>
            <w:pPr>
              <w:pStyle w:val="Compact"/>
            </w:pPr>
            <w:r>
              <w:t xml:space="preserve">✅ Punto 8 (verificación) + ⚡ Laboratorio (punto 9)</w:t>
            </w:r>
          </w:p>
        </w:tc>
      </w:tr>
      <w:tr>
        <w:tc>
          <w:tcPr/>
          <w:p>
            <w:pPr>
              <w:pStyle w:val="Compact"/>
            </w:pPr>
            <w:r>
              <w:t xml:space="preserve">RA1·b)</w:t>
            </w:r>
          </w:p>
        </w:tc>
        <w:tc>
          <w:tcPr/>
          <w:p>
            <w:pPr>
              <w:pStyle w:val="Compact"/>
            </w:pPr>
            <w:r>
              <w:t xml:space="preserve">Se han diferenciado los distintos medios de transmisión utilizados en las redes</w:t>
            </w:r>
          </w:p>
        </w:tc>
        <w:tc>
          <w:tcPr/>
          <w:p>
            <w:pPr>
              <w:pStyle w:val="Compac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Ethernet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solo la mitad del diagnóstico.</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Medios y antenas</w:t>
        </w:r>
      </w:hyperlink>
    </w:p>
    <w:bookmarkEnd w:id="34"/>
    <w:bookmarkEnd w:id="35"/>
    <w:bookmarkStart w:id="43" w:name="medios-y-antenas"/>
    <w:p>
      <w:pPr>
        <w:pStyle w:val="Heading1"/>
      </w:pPr>
      <w:r>
        <w:t xml:space="preserve">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Ethernet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3 · Estándares 802.11</w:t>
        </w:r>
      </w:hyperlink>
    </w:p>
    <w:bookmarkEnd w:id="42"/>
    <w:bookmarkEnd w:id="43"/>
    <w:bookmarkStart w:id="51" w:name="estándares-802.11"/>
    <w:p>
      <w:pPr>
        <w:pStyle w:val="Heading1"/>
      </w:pPr>
      <w:r>
        <w:t xml:space="preserve">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4 · Topologías y modos de trabajo</w:t>
        </w:r>
      </w:hyperlink>
    </w:p>
    <w:bookmarkEnd w:id="50"/>
    <w:bookmarkEnd w:id="51"/>
    <w:bookmarkStart w:id="59" w:name="topologías-y-modos-de-trabajo"/>
    <w:p>
      <w:pPr>
        <w:pStyle w:val="Heading1"/>
      </w:pPr>
      <w:r>
        <w:t xml:space="preserve">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Service Set)</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5 · Cobertura y diseño</w:t>
        </w:r>
      </w:hyperlink>
    </w:p>
    <w:bookmarkEnd w:id="58"/>
    <w:bookmarkEnd w:id="59"/>
    <w:bookmarkStart w:id="69" w:name="cobertura-y-diseño"/>
    <w:p>
      <w:pPr>
        <w:pStyle w:val="Heading1"/>
      </w:pPr>
      <w:r>
        <w:t xml:space="preserve">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 portátil/app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6 · Seguridad WLAN</w:t>
        </w:r>
      </w:hyperlink>
    </w:p>
    <w:bookmarkEnd w:id="68"/>
    <w:bookmarkEnd w:id="69"/>
    <w:bookmarkStart w:id="78" w:name="seguridad-wlan"/>
    <w:p>
      <w:pPr>
        <w:pStyle w:val="Heading1"/>
      </w:pPr>
      <w:r>
        <w:t xml:space="preserve">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7 · APs y controladores</w:t>
        </w:r>
      </w:hyperlink>
    </w:p>
    <w:bookmarkEnd w:id="77"/>
    <w:bookmarkEnd w:id="78"/>
    <w:bookmarkStart w:id="88" w:name="aps-y-controladores"/>
    <w:p>
      <w:pPr>
        <w:pStyle w:val="Heading1"/>
      </w:pPr>
      <w:r>
        <w:t xml:space="preserve">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en la nube o embebido</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WLAN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y verificación</w:t>
        </w:r>
      </w:hyperlink>
    </w:p>
    <w:bookmarkEnd w:id="87"/>
    <w:bookmarkEnd w:id="88"/>
    <w:bookmarkStart w:id="102" w:name="configuración-y-verificación"/>
    <w:p>
      <w:pPr>
        <w:pStyle w:val="Heading1"/>
      </w:pPr>
      <w:r>
        <w:t xml:space="preserve">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5"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1"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r>
        <w:br/>
      </w:r>
      <w:r>
        <w:rPr>
          <w:rStyle w:val="VerbatimChar"/>
        </w:rPr>
        <w:t xml:space="preserve">Router(config)# access-list 110 deny ip 192.168.99.0 0.0.0.255 192.168.10.0 0.0.0.255</w:t>
      </w:r>
      <w:r>
        <w:br/>
      </w:r>
      <w:r>
        <w:rPr>
          <w:rStyle w:val="VerbatimChar"/>
        </w:rPr>
        <w:t xml:space="preserve">Router(config)# access-list 110 permit ip any any</w:t>
      </w:r>
      <w:r>
        <w:br/>
      </w:r>
      <w:r>
        <w:rPr>
          <w:rStyle w:val="VerbatimChar"/>
        </w:rPr>
        <w:t xml:space="preserve">Router(config)# interface gigabitEthernet 0/0.99</w:t>
      </w:r>
      <w:r>
        <w:br/>
      </w:r>
      <w:r>
        <w:rPr>
          <w:rStyle w:val="VerbatimChar"/>
        </w:rPr>
        <w:t xml:space="preserve">Router(config-subif)# ip access-group 110 in</w:t>
      </w:r>
    </w:p>
    <w:p>
      <w:pPr>
        <w:pStyle w:val="BlockText"/>
      </w:pPr>
      <w:r>
        <w:t xml:space="preserve">💡 La ACL 110 es la que hace real el aislamiento de</w:t>
      </w:r>
      <w:r>
        <w:t xml:space="preserve"> </w:t>
      </w:r>
      <w:r>
        <w:rPr>
          <w:rStyle w:val="VerbatimChar"/>
        </w:rPr>
        <w:t xml:space="preserve">INVITADOS</w:t>
      </w:r>
      <w:r>
        <w:t xml:space="preserve">: sin ella, el router enruta entre las dos VLANs y los invitados pingen a la VLAN 10. La montas a fondo en la</w:t>
      </w:r>
      <w:r>
        <w:t xml:space="preserve"> </w:t>
      </w:r>
      <w:hyperlink r:id="rId90">
        <w:r>
          <w:rPr>
            <w:rStyle w:val="Hyperlink"/>
          </w:rPr>
          <w:t xml:space="preserve">unidad de ACL y seguridad</w:t>
        </w:r>
      </w:hyperlink>
      <w:r>
        <w:t xml:space="preserve">.</w:t>
      </w:r>
    </w:p>
    <w:bookmarkEnd w:id="91"/>
    <w:bookmarkStart w:id="92"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2"/>
    <w:bookmarkStart w:id="93"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solo se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3"/>
    <w:bookmarkStart w:id="94"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94"/>
    <w:bookmarkEnd w:id="95"/>
    <w:bookmarkStart w:id="96"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 interface dot11Radio 0.10</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96"/>
    <w:bookmarkStart w:id="97"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(móvil/portátil)</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97"/>
    <w:bookmarkStart w:id="98"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8"/>
    <w:bookmarkStart w:id="99"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9"/>
    <w:bookmarkStart w:id="100"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100"/>
    <w:bookmarkStart w:id="101"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portátil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9 · Cierre</w:t>
        </w:r>
      </w:hyperlink>
    </w:p>
    <w:bookmarkEnd w:id="101"/>
    <w:bookmarkEnd w:id="102"/>
    <w:bookmarkStart w:id="115"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3"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3"/>
    <w:bookmarkStart w:id="104"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4"/>
    <w:bookmarkStart w:id="105"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5"/>
    <w:bookmarkStart w:id="106"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6"/>
    <w:bookmarkStart w:id="107"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portátiles (WPC300N), 1 PC</w:t>
      </w:r>
    </w:p>
    <w:p>
      <w:pPr>
        <w:pStyle w:val="FirstParagraph"/>
      </w:pPr>
      <w:r>
        <w:rPr>
          <w:b/>
          <w:bCs/>
        </w:rPr>
        <w:t xml:space="preserve">Montaje:</w:t>
      </w:r>
      <w:r>
        <w:t xml:space="preserve"> </w:t>
      </w:r>
      <w:r>
        <w:t xml:space="preserve">Router → Switch; del switch salen PC-1 (VLAN 10), AP-1 (trunk 10,99) y AP-2 (trunk 10,99). Los portátiles se reparten entre ambos APs.</w:t>
      </w:r>
    </w:p>
    <w:p>
      <w:pPr>
        <w:pStyle w:val="BodyText"/>
      </w:pPr>
      <w:r>
        <w:rPr>
          <w:b/>
          <w:bCs/>
        </w:rPr>
        <w:t xml:space="preserve">Configura al inicio:</w:t>
      </w:r>
      <w:r>
        <w:t xml:space="preserve"> </w:t>
      </w:r>
      <w:r>
        <w:t xml:space="preserve">1. Router: subinterfaces .10 y .99 (gateway 192.168.10.1 y 192.168.99.1) + pool DHCP para ambas VLANs + ACL 110 (deny 99→10 y permit any) aplicada entrante en la subinterfaz .99 — es la que hará que los invitados no pingen a la VLAN 10 (recuerda de la unidad de ACL).</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portátiles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7"/>
    <w:bookmarkStart w:id="10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8"/>
    <w:bookmarkStart w:id="109"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9"/>
    <w:bookmarkStart w:id="11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10"/>
    <w:bookmarkStart w:id="111"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1"/>
    <w:bookmarkStart w:id="112"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2"/>
    <w:bookmarkStart w:id="113"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3"/>
    <w:bookmarkStart w:id="114" w:name="Xe5c9652d70275eff18ae7b599d66bd50ec929a5"/>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RA2·a)</w:t>
            </w:r>
          </w:p>
        </w:tc>
        <w:tc>
          <w:tcPr/>
          <w:p>
            <w:pPr>
              <w:pStyle w:val="Compact"/>
            </w:pPr>
            <w:r>
              <w:t xml:space="preserve">Se han identificado los estándares para redes cableadas e inalámbricas</w:t>
            </w:r>
          </w:p>
        </w:tc>
        <w:tc>
          <w:tcPr/>
          <w:p>
            <w:pPr>
              <w:pStyle w:val="Compact"/>
            </w:pPr>
            <w:r>
              <w:t xml:space="preserve">✅ Puntos 1, 3 y 5</w:t>
            </w:r>
          </w:p>
        </w:tc>
      </w:tr>
      <w:tr>
        <w:tc>
          <w:tcPr/>
          <w:p>
            <w:pPr>
              <w:pStyle w:val="Compact"/>
            </w:pPr>
            <w:r>
              <w:t xml:space="preserve">RA2·e)</w:t>
            </w:r>
          </w:p>
        </w:tc>
        <w:tc>
          <w:tcPr/>
          <w:p>
            <w:pPr>
              <w:pStyle w:val="Compact"/>
            </w:pPr>
            <w:r>
              <w:t xml:space="preserve">Se han configurado adaptadores de red cableados e inalámbricos bajo distintos sistemas operativos</w:t>
            </w:r>
          </w:p>
        </w:tc>
        <w:tc>
          <w:tcPr/>
          <w:p>
            <w:pPr>
              <w:pStyle w:val="Compact"/>
            </w:pPr>
            <w:r>
              <w:t xml:space="preserve">✅ Punto 8 (adaptadores) + ⚡ Laboratorio (punto 9)</w:t>
            </w:r>
          </w:p>
        </w:tc>
      </w:tr>
      <w:tr>
        <w:tc>
          <w:tcPr/>
          <w:p>
            <w:pPr>
              <w:pStyle w:val="Compact"/>
            </w:pPr>
            <w:r>
              <w:t xml:space="preserve">RA2·f)</w:t>
            </w:r>
          </w:p>
        </w:tc>
        <w:tc>
          <w:tcPr/>
          <w:p>
            <w:pPr>
              <w:pStyle w:val="Compact"/>
            </w:pPr>
            <w:r>
              <w:t xml:space="preserve">Se han integrado dispositivos en redes cableadas e inalámbricas</w:t>
            </w:r>
          </w:p>
        </w:tc>
        <w:tc>
          <w:tcPr/>
          <w:p>
            <w:pPr>
              <w:pStyle w:val="Compact"/>
            </w:pPr>
            <w:r>
              <w:t xml:space="preserve">✅ Puntos 4, 7 y 8 + ⚡ Laboratorio (punto 9)</w:t>
            </w:r>
          </w:p>
        </w:tc>
      </w:tr>
      <w:tr>
        <w:tc>
          <w:tcPr/>
          <w:p>
            <w:pPr>
              <w:pStyle w:val="Compact"/>
            </w:pPr>
            <w:r>
              <w:t xml:space="preserve">RA2·g)</w:t>
            </w:r>
          </w:p>
        </w:tc>
        <w:tc>
          <w:tcPr/>
          <w:p>
            <w:pPr>
              <w:pStyle w:val="Compact"/>
            </w:pPr>
            <w:r>
              <w:t xml:space="preserve">Se ha comprobado la conectividad entre diversos dispositivos y adaptadores inalámbricos sobre distintas configuraciones</w:t>
            </w:r>
          </w:p>
        </w:tc>
        <w:tc>
          <w:tcPr/>
          <w:p>
            <w:pPr>
              <w:pStyle w:val="Compact"/>
            </w:pPr>
            <w:r>
              <w:t xml:space="preserve">✅ Punto 8 (verificación) + ⚡ Laboratorio (punto 9)</w:t>
            </w:r>
          </w:p>
        </w:tc>
      </w:tr>
      <w:tr>
        <w:tc>
          <w:tcPr/>
          <w:p>
            <w:pPr>
              <w:pStyle w:val="Compact"/>
            </w:pPr>
            <w:r>
              <w:t xml:space="preserve">RA1·b)</w:t>
            </w:r>
          </w:p>
        </w:tc>
        <w:tc>
          <w:tcPr/>
          <w:p>
            <w:pPr>
              <w:pStyle w:val="Compact"/>
            </w:pPr>
            <w:r>
              <w:t xml:space="preserve">Se han diferenciado los distintos medios de transmisión utilizados en las redes</w:t>
            </w:r>
          </w:p>
        </w:tc>
        <w:tc>
          <w:tcPr/>
          <w:p>
            <w:pPr>
              <w:pStyle w:val="Compact"/>
            </w:pPr>
            <w:r>
              <w:t xml:space="preserve">✅ Puntos 1 y 2</w:t>
            </w:r>
          </w:p>
        </w:tc>
      </w:tr>
    </w:tbl>
    <w:p>
      <w:pPr>
        <w:pStyle w:val="BlockText"/>
      </w:pPr>
      <w:r>
        <w:t xml:space="preserve">ℹ️ La</w:t>
      </w:r>
      <w:r>
        <w:t xml:space="preserve"> </w:t>
      </w:r>
      <w:r>
        <w:rPr>
          <w:b/>
          <w:bCs/>
        </w:rPr>
        <w:t xml:space="preserve">seguridad WLAN</w:t>
      </w:r>
      <w:r>
        <w:t xml:space="preserve"> </w:t>
      </w:r>
      <w:r>
        <w:t xml:space="preserve">(punto 6 + 🧠 Atrévete a pensar) es contenido propio de la unidad: el g) oficial de RA2 no es seguridad, sino comprobar conectividad inalámbrica.</w:t>
      </w:r>
    </w:p>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90" Target="/ApuntesRedes/10-acl-seguridad"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90" Target="/ApuntesRedes/10-acl-seguridad"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2026-09-28T21:17:18Z</dcterms:created>
  <dcterms:modified xsi:type="dcterms:W3CDTF">2026-09-28T21:17:18Z</dcterms:modified>
</cp:coreProperties>
</file>

<file path=docProps/custom.xml><?xml version="1.0" encoding="utf-8"?>
<Properties xmlns="http://schemas.openxmlformats.org/officeDocument/2006/custom-properties" xmlns:vt="http://schemas.openxmlformats.org/officeDocument/2006/docPropsVTypes"/>
</file>