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widowControl w:val="1"/>
        <w:spacing w:after="0" w:before="1440" w:lineRule="auto"/>
        <w:rPr>
          <w:rFonts w:ascii="Proxima Nova" w:cs="Proxima Nova" w:eastAsia="Proxima Nova" w:hAnsi="Proxima Nova"/>
          <w:color w:val="404040"/>
          <w:sz w:val="88"/>
          <w:szCs w:val="88"/>
        </w:rPr>
      </w:pPr>
      <w:bookmarkStart w:colFirst="0" w:colLast="0" w:name="_aczyuw2yex2w" w:id="0"/>
      <w:bookmarkEnd w:id="0"/>
      <w:r w:rsidDel="00000000" w:rsidR="00000000" w:rsidRPr="00000000">
        <w:rPr>
          <w:rFonts w:ascii="Proxima Nova" w:cs="Proxima Nova" w:eastAsia="Proxima Nova" w:hAnsi="Proxima Nova"/>
          <w:b w:val="0"/>
          <w:bCs w:val="0"/>
          <w:color w:val="669966"/>
          <w:sz w:val="48"/>
          <w:szCs w:val="48"/>
          <w:rtl w:val="0"/>
        </w:rPr>
        <w:t xml:space="preserve">Sistemas Informáticos</w:t>
      </w:r>
      <w:r w:rsidDel="00000000" w:rsidR="00000000" w:rsidRPr="00000000">
        <w:rPr>
          <w:rFonts w:ascii="Proxima Nova" w:cs="Proxima Nova" w:eastAsia="Proxima Nova" w:hAnsi="Proxima Nova"/>
          <w:color w:val="404040"/>
          <w:sz w:val="96"/>
          <w:szCs w:val="96"/>
          <w:rtl w:val="0"/>
        </w:rPr>
        <w:br w:type="textWrapping"/>
      </w:r>
      <w:r w:rsidDel="00000000" w:rsidR="00000000" w:rsidRPr="00000000">
        <w:rPr>
          <w:rFonts w:ascii="Proxima Nova" w:cs="Proxima Nova" w:eastAsia="Proxima Nova" w:hAnsi="Proxima Nova"/>
          <w:color w:val="404040"/>
          <w:sz w:val="88"/>
          <w:szCs w:val="88"/>
          <w:rtl w:val="0"/>
        </w:rPr>
        <w:t xml:space="preserve">Unidad 09. Actividades no evaluables 01</w:t>
      </w:r>
    </w:p>
    <w:p w:rsidR="00000000" w:rsidDel="00000000" w:rsidP="00000000" w:rsidRDefault="00000000" w:rsidRPr="00000000" w14:paraId="00000002">
      <w:pPr>
        <w:pageBreakBefore w:val="0"/>
        <w:widowControl w:val="1"/>
        <w:spacing w:after="3600" w:before="2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720000</wp:posOffset>
            </wp:positionH>
            <wp:positionV relativeFrom="page">
              <wp:posOffset>5400000</wp:posOffset>
            </wp:positionV>
            <wp:extent cx="6120000" cy="723900"/>
            <wp:effectExtent b="0" l="0" r="0" t="0"/>
            <wp:wrapSquare wrapText="bothSides" distB="114300" distT="114300" distL="114300" distR="11430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9376" l="0" r="0" t="937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723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short line" id="3" name="image4.png"/>
            <a:graphic>
              <a:graphicData uri="http://schemas.openxmlformats.org/drawingml/2006/picture">
                <pic:pic>
                  <pic:nvPicPr>
                    <pic:cNvPr descr="short line"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t xml:space="preserve">Autores</w:t>
      </w: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t xml:space="preserve">: Sergi García, Alfredo Oltra</w:t>
      </w:r>
      <w:r w:rsidDel="00000000" w:rsidR="00000000" w:rsidRPr="00000000">
        <w:drawing>
          <wp:anchor allowOverlap="1" behindDoc="0" distB="57150" distT="57150" distL="57150" distR="57150" hidden="0" layoutInCell="1" locked="0" relativeHeight="0" simplePos="0">
            <wp:simplePos x="0" y="0"/>
            <wp:positionH relativeFrom="column">
              <wp:posOffset>2714625</wp:posOffset>
            </wp:positionH>
            <wp:positionV relativeFrom="paragraph">
              <wp:posOffset>476250</wp:posOffset>
            </wp:positionV>
            <wp:extent cx="922564" cy="322898"/>
            <wp:effectExtent b="0" l="0" r="0" t="0"/>
            <wp:wrapSquare wrapText="bothSides" distB="57150" distT="57150" distL="57150" distR="5715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2564" cy="32289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B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t xml:space="preserve">Actualizado Noviembre 2025</w:t>
      </w:r>
    </w:p>
    <w:p w:rsidR="00000000" w:rsidDel="00000000" w:rsidP="00000000" w:rsidRDefault="00000000" w:rsidRPr="00000000" w14:paraId="0000000C">
      <w:pPr>
        <w:pageBreakBefore w:val="0"/>
        <w:widowControl w:val="1"/>
        <w:spacing w:after="0" w:before="200" w:line="300" w:lineRule="auto"/>
        <w:rPr>
          <w:color w:val="33663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widowControl w:val="1"/>
        <w:spacing w:after="0" w:before="200" w:line="300" w:lineRule="auto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smallCaps w:val="1"/>
          <w:color w:val="336633"/>
          <w:sz w:val="32"/>
          <w:szCs w:val="32"/>
          <w:rtl w:val="0"/>
        </w:rPr>
        <w:t xml:space="preserve">Unidad 09. Actividades no evaluables 01</w:t>
      </w:r>
    </w:p>
    <w:p w:rsidR="00000000" w:rsidDel="00000000" w:rsidP="00000000" w:rsidRDefault="00000000" w:rsidRPr="00000000" w14:paraId="0000000E">
      <w:pPr>
        <w:pStyle w:val="Heading1"/>
        <w:numPr>
          <w:ilvl w:val="0"/>
          <w:numId w:val="2"/>
        </w:numPr>
        <w:ind w:left="432"/>
      </w:pPr>
      <w:bookmarkStart w:colFirst="0" w:colLast="0" w:name="_hnqspirfq5lr" w:id="1"/>
      <w:bookmarkEnd w:id="1"/>
      <w:r w:rsidDel="00000000" w:rsidR="00000000" w:rsidRPr="00000000">
        <w:rPr>
          <w:rtl w:val="0"/>
        </w:rPr>
        <w:t xml:space="preserve">Ejercicio 01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Investiga qué tipo de “cintas” se utilizan en las empresas para almacenar copias de seguridad.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¿Puedes explicar con tus propias palabras cómo funcionan?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¿Cuáles son las principales características de estos dispositivos?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¿Podrían utilizarse para almacenar copias de seguridad?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Comparte tus respuestas en el foro.</w:t>
      </w:r>
    </w:p>
    <w:p w:rsidR="00000000" w:rsidDel="00000000" w:rsidP="00000000" w:rsidRDefault="00000000" w:rsidRPr="00000000" w14:paraId="00000014">
      <w:pPr>
        <w:pStyle w:val="Heading1"/>
        <w:numPr>
          <w:ilvl w:val="0"/>
          <w:numId w:val="2"/>
        </w:numPr>
        <w:ind w:left="432"/>
      </w:pPr>
      <w:bookmarkStart w:colFirst="0" w:colLast="0" w:name="_in02wtjprvwu" w:id="2"/>
      <w:bookmarkEnd w:id="2"/>
      <w:r w:rsidDel="00000000" w:rsidR="00000000" w:rsidRPr="00000000">
        <w:rPr>
          <w:rtl w:val="0"/>
        </w:rPr>
        <w:t xml:space="preserve">Ejercicio 02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Investiga qué es un dispositivo </w:t>
      </w:r>
      <w:r w:rsidDel="00000000" w:rsidR="00000000" w:rsidRPr="00000000">
        <w:rPr>
          <w:b w:val="1"/>
          <w:bCs w:val="1"/>
          <w:rtl w:val="0"/>
        </w:rPr>
        <w:t xml:space="preserve">NAS</w:t>
      </w:r>
      <w:r w:rsidDel="00000000" w:rsidR="00000000" w:rsidRPr="00000000">
        <w:rPr>
          <w:rtl w:val="0"/>
        </w:rPr>
        <w:t xml:space="preserve"> (Network Attached Storage). Puedes encontrar información en lugares como:</w:t>
      </w:r>
      <w:hyperlink r:id="rId9">
        <w:r w:rsidDel="00000000" w:rsidR="00000000" w:rsidRPr="00000000">
          <w:rPr>
            <w:rtl w:val="0"/>
          </w:rPr>
          <w:t xml:space="preserve"> </w:t>
        </w:r>
      </w:hyperlink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https://es.wikipedia.org/wiki/Almacenamiento_conectado_en_red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¿Puedes explicar con tus propias palabras cómo funciona?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¿Cuáles son las características principales de estos dispositivos?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¿Suelen ser compatibles con sistemas RAID?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¿Se podrían utilizar para almacenar copias de seguridad?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Comparte tus respuestas en el foro.</w:t>
      </w:r>
    </w:p>
    <w:p w:rsidR="00000000" w:rsidDel="00000000" w:rsidP="00000000" w:rsidRDefault="00000000" w:rsidRPr="00000000" w14:paraId="0000001B">
      <w:pPr>
        <w:pStyle w:val="Heading1"/>
        <w:numPr>
          <w:ilvl w:val="0"/>
          <w:numId w:val="2"/>
        </w:numPr>
        <w:ind w:left="432"/>
        <w:rPr>
          <w:smallCaps w:val="1"/>
          <w:color w:val="669966"/>
          <w:sz w:val="28"/>
          <w:szCs w:val="28"/>
        </w:rPr>
      </w:pPr>
      <w:bookmarkStart w:colFirst="0" w:colLast="0" w:name="_z3kggxi53y28" w:id="3"/>
      <w:bookmarkEnd w:id="3"/>
      <w:r w:rsidDel="00000000" w:rsidR="00000000" w:rsidRPr="00000000">
        <w:rPr>
          <w:rtl w:val="0"/>
        </w:rPr>
        <w:t xml:space="preserve">Ejercicio 03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Busca ejemplos de </w:t>
      </w:r>
      <w:r w:rsidDel="00000000" w:rsidR="00000000" w:rsidRPr="00000000">
        <w:rPr>
          <w:b w:val="1"/>
          <w:bCs w:val="1"/>
          <w:rtl w:val="0"/>
        </w:rPr>
        <w:t xml:space="preserve">plantillas de políticas de copias de seguridad</w:t>
      </w:r>
      <w:r w:rsidDel="00000000" w:rsidR="00000000" w:rsidRPr="00000000">
        <w:rPr>
          <w:rtl w:val="0"/>
        </w:rPr>
        <w:t xml:space="preserve"> (por ejemplo, en</w:t>
      </w:r>
      <w:hyperlink r:id="rId11">
        <w:r w:rsidDel="00000000" w:rsidR="00000000" w:rsidRPr="00000000">
          <w:rPr>
            <w:rtl w:val="0"/>
          </w:rPr>
          <w:t xml:space="preserve"> </w:t>
        </w:r>
      </w:hyperlink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https://preteshbiswas.com/2020/01/30/backup-policy/</w:t>
        </w:r>
      </w:hyperlink>
      <w:r w:rsidDel="00000000" w:rsidR="00000000" w:rsidRPr="00000000">
        <w:rPr>
          <w:rtl w:val="0"/>
        </w:rPr>
        <w:t xml:space="preserve">).</w:t>
        <w:br w:type="textWrapping"/>
        <w:t xml:space="preserve"> Utilizándolas como referencia, intenta redactar una </w:t>
      </w:r>
      <w:r w:rsidDel="00000000" w:rsidR="00000000" w:rsidRPr="00000000">
        <w:rPr>
          <w:b w:val="1"/>
          <w:bCs w:val="1"/>
          <w:rtl w:val="0"/>
        </w:rPr>
        <w:t xml:space="preserve">política de copias de seguridad</w:t>
      </w:r>
      <w:r w:rsidDel="00000000" w:rsidR="00000000" w:rsidRPr="00000000">
        <w:rPr>
          <w:rtl w:val="0"/>
        </w:rPr>
        <w:t xml:space="preserve"> para un negocio ficticio.</w:t>
        <w:br w:type="textWrapping"/>
        <w:t xml:space="preserve"> Compártela en el foro y comenta sus ventajas y desventajas.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numPr>
          <w:ilvl w:val="0"/>
          <w:numId w:val="2"/>
        </w:numPr>
        <w:ind w:left="432"/>
        <w:rPr>
          <w:smallCaps w:val="1"/>
          <w:color w:val="669966"/>
          <w:sz w:val="28"/>
          <w:szCs w:val="28"/>
        </w:rPr>
      </w:pPr>
      <w:bookmarkStart w:colFirst="0" w:colLast="0" w:name="_1szm6wc6au3l" w:id="4"/>
      <w:bookmarkEnd w:id="4"/>
      <w:r w:rsidDel="00000000" w:rsidR="00000000" w:rsidRPr="00000000">
        <w:rPr>
          <w:rtl w:val="0"/>
        </w:rPr>
        <w:t xml:space="preserve">Ejercicio 04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Realiza un </w:t>
      </w:r>
      <w:r w:rsidDel="00000000" w:rsidR="00000000" w:rsidRPr="00000000">
        <w:rPr>
          <w:b w:val="1"/>
          <w:bCs w:val="1"/>
          <w:rtl w:val="0"/>
        </w:rPr>
        <w:t xml:space="preserve">resumen</w:t>
      </w:r>
      <w:r w:rsidDel="00000000" w:rsidR="00000000" w:rsidRPr="00000000">
        <w:rPr>
          <w:rtl w:val="0"/>
        </w:rPr>
        <w:t xml:space="preserve"> y un </w:t>
      </w:r>
      <w:r w:rsidDel="00000000" w:rsidR="00000000" w:rsidRPr="00000000">
        <w:rPr>
          <w:b w:val="1"/>
          <w:bCs w:val="1"/>
          <w:rtl w:val="0"/>
        </w:rPr>
        <w:t xml:space="preserve">esquema</w:t>
      </w:r>
      <w:r w:rsidDel="00000000" w:rsidR="00000000" w:rsidRPr="00000000">
        <w:rPr>
          <w:rtl w:val="0"/>
        </w:rPr>
        <w:t xml:space="preserve"> de los diferentes tipos de RAID para ayudarte a estudiar para el examen.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headerReference r:id="rId13" w:type="default"/>
      <w:headerReference r:id="rId14" w:type="first"/>
      <w:footerReference r:id="rId15" w:type="default"/>
      <w:footerReference r:id="rId16" w:type="first"/>
      <w:pgSz w:h="16838" w:w="11906" w:orient="portrait"/>
      <w:pgMar w:bottom="1133.8582677165355" w:top="1133.8582677165355" w:left="1133.8582677165355" w:right="1133.8582677165355" w:header="0" w:footer="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Tahoma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pageBreakBefore w:val="0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pageBreakBefore w:val="0"/>
      <w:pBdr>
        <w:top w:color="666633" w:space="2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  <w:rtl w:val="0"/>
      </w:rPr>
      <w:t xml:space="preserve">CFGS DAM/DAW</w:t>
      <w:tab/>
      <w:tab/>
      <w:t xml:space="preserve">Unidad 09 - Página </w:t>
    </w: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7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2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3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  <w:rtl w:val="0"/>
      </w:rPr>
      <w:t xml:space="preserve">Sistemas Informáticos</w:t>
      <w:tab/>
      <w:tab/>
      <w:t xml:space="preserve">Unidad 09. Backups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432" w:hanging="432"/>
      </w:pPr>
      <w:rPr/>
    </w:lvl>
    <w:lvl w:ilvl="1">
      <w:start w:val="1"/>
      <w:numFmt w:val="decimal"/>
      <w:lvlText w:val=" %1.%2 "/>
      <w:lvlJc w:val="left"/>
      <w:pPr>
        <w:ind w:left="576" w:hanging="576"/>
      </w:pPr>
      <w:rPr/>
    </w:lvl>
    <w:lvl w:ilvl="2">
      <w:start w:val="1"/>
      <w:numFmt w:val="decimal"/>
      <w:lvlText w:val=" %1.%2.%3 "/>
      <w:lvlJc w:val="left"/>
      <w:pPr>
        <w:ind w:left="720" w:hanging="720"/>
      </w:pPr>
      <w:rPr/>
    </w:lvl>
    <w:lvl w:ilvl="3">
      <w:start w:val="1"/>
      <w:numFmt w:val="decimal"/>
      <w:lvlText w:val=" %1.%2.%3.%4 "/>
      <w:lvlJc w:val="left"/>
      <w:pPr>
        <w:ind w:left="864" w:hanging="864"/>
      </w:pPr>
      <w:rPr/>
    </w:lvl>
    <w:lvl w:ilvl="4">
      <w:start w:val="1"/>
      <w:numFmt w:val="decimal"/>
      <w:lvlText w:val=" %1.%2.%3.%4.%5 "/>
      <w:lvlJc w:val="left"/>
      <w:pPr>
        <w:ind w:left="1008.0000000000001" w:hanging="1008.0000000000001"/>
      </w:pPr>
      <w:rPr/>
    </w:lvl>
    <w:lvl w:ilvl="5">
      <w:start w:val="1"/>
      <w:numFmt w:val="decimal"/>
      <w:lvlText w:val=" %1.%2.%3.%4.%5.%6 "/>
      <w:lvlJc w:val="left"/>
      <w:pPr>
        <w:ind w:left="1152" w:hanging="1152"/>
      </w:pPr>
      <w:rPr/>
    </w:lvl>
    <w:lvl w:ilvl="6">
      <w:start w:val="1"/>
      <w:numFmt w:val="decimal"/>
      <w:lvlText w:val=" %1.%2.%3.%4.%5.%6.%7 "/>
      <w:lvlJc w:val="left"/>
      <w:pPr>
        <w:ind w:left="1296" w:hanging="1296"/>
      </w:pPr>
      <w:rPr/>
    </w:lvl>
    <w:lvl w:ilvl="7">
      <w:start w:val="1"/>
      <w:numFmt w:val="decimal"/>
      <w:lvlText w:val=" %1.%2.%3.%4.%5.%6.%7.%8 "/>
      <w:lvlJc w:val="left"/>
      <w:pPr>
        <w:ind w:left="1440" w:hanging="1440"/>
      </w:pPr>
      <w:rPr/>
    </w:lvl>
    <w:lvl w:ilvl="8">
      <w:start w:val="1"/>
      <w:numFmt w:val="decimal"/>
      <w:lvlText w:val=" %1.%2.%3.%4.%5.%6.%7.%8.%9 "/>
      <w:lvlJc w:val="left"/>
      <w:pPr>
        <w:ind w:left="1584" w:hanging="1584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ca"/>
      </w:rPr>
    </w:rPrDefault>
    <w:pPrDefault>
      <w:pPr>
        <w:widowControl w:val="0"/>
        <w:spacing w:after="62" w:before="57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ageBreakBefore w:val="0"/>
      <w:spacing w:after="289" w:before="238" w:lineRule="auto"/>
      <w:jc w:val="left"/>
    </w:pPr>
    <w:rPr>
      <w:smallCaps w:val="1"/>
      <w:color w:val="669966"/>
      <w:sz w:val="28"/>
      <w:szCs w:val="28"/>
    </w:rPr>
  </w:style>
  <w:style w:type="paragraph" w:styleId="Heading2">
    <w:name w:val="heading 2"/>
    <w:basedOn w:val="Normal"/>
    <w:next w:val="Normal"/>
    <w:pPr>
      <w:keepNext w:val="1"/>
      <w:pageBreakBefore w:val="0"/>
      <w:spacing w:after="142" w:before="181" w:lineRule="auto"/>
      <w:ind w:left="576"/>
      <w:jc w:val="left"/>
    </w:pPr>
    <w:rPr>
      <w:color w:val="669966"/>
    </w:rPr>
  </w:style>
  <w:style w:type="paragraph" w:styleId="Heading3">
    <w:name w:val="heading 3"/>
    <w:basedOn w:val="Normal"/>
    <w:next w:val="Normal"/>
    <w:pPr>
      <w:keepNext w:val="1"/>
      <w:pageBreakBefore w:val="0"/>
      <w:spacing w:after="119" w:before="181" w:lineRule="auto"/>
      <w:ind w:left="720" w:hanging="720"/>
      <w:jc w:val="left"/>
    </w:pPr>
    <w:rPr>
      <w:rFonts w:ascii="Arial" w:cs="Arial" w:eastAsia="Arial" w:hAnsi="Arial"/>
      <w:b w:val="0"/>
      <w:bCs w:val="0"/>
      <w:smallCaps w:val="0"/>
      <w:color w:val="669966"/>
      <w:sz w:val="22"/>
      <w:szCs w:val="22"/>
    </w:rPr>
  </w:style>
  <w:style w:type="paragraph" w:styleId="Heading4">
    <w:name w:val="heading 4"/>
    <w:basedOn w:val="Normal"/>
    <w:next w:val="Normal"/>
    <w:pPr>
      <w:keepNext w:val="1"/>
      <w:pageBreakBefore w:val="0"/>
      <w:spacing w:after="119" w:before="181" w:lineRule="auto"/>
      <w:ind w:left="864" w:hanging="864"/>
      <w:jc w:val="left"/>
    </w:pPr>
    <w:rPr>
      <w:rFonts w:ascii="Arial" w:cs="Arial" w:eastAsia="Arial" w:hAnsi="Arial"/>
      <w:b w:val="1"/>
      <w:bCs w:val="1"/>
      <w:i w:val="1"/>
      <w:iCs w:val="1"/>
      <w:smallCaps w:val="0"/>
      <w:sz w:val="21"/>
      <w:szCs w:val="21"/>
      <w:u w:val="single"/>
    </w:rPr>
  </w:style>
  <w:style w:type="paragraph" w:styleId="Heading5">
    <w:name w:val="heading 5"/>
    <w:basedOn w:val="Normal"/>
    <w:next w:val="Normal"/>
    <w:pPr>
      <w:keepNext w:val="1"/>
      <w:pageBreakBefore w:val="0"/>
      <w:spacing w:after="120" w:before="240" w:lineRule="auto"/>
      <w:ind w:left="1008" w:hanging="1008"/>
      <w:jc w:val="left"/>
    </w:pPr>
    <w:rPr>
      <w:rFonts w:ascii="Arial" w:cs="Arial" w:eastAsia="Arial" w:hAnsi="Arial"/>
      <w:b w:val="1"/>
      <w:bCs w:val="1"/>
      <w:smallCaps w:val="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preteshbiswas.com/2020/01/30/backup-policy/" TargetMode="External"/><Relationship Id="rId10" Type="http://schemas.openxmlformats.org/officeDocument/2006/relationships/hyperlink" Target="https://es.wikipedia.org/wiki/Almacenamiento_conectado_en_red" TargetMode="External"/><Relationship Id="rId13" Type="http://schemas.openxmlformats.org/officeDocument/2006/relationships/header" Target="header1.xml"/><Relationship Id="rId12" Type="http://schemas.openxmlformats.org/officeDocument/2006/relationships/hyperlink" Target="https://preteshbiswas.com/2020/01/30/backup-policy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es.wikipedia.org/wiki/Almacenamiento_conectado_en_red" TargetMode="External"/><Relationship Id="rId15" Type="http://schemas.openxmlformats.org/officeDocument/2006/relationships/footer" Target="footer2.xml"/><Relationship Id="rId14" Type="http://schemas.openxmlformats.org/officeDocument/2006/relationships/header" Target="header2.xml"/><Relationship Id="rId16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5" Type="http://schemas.openxmlformats.org/officeDocument/2006/relationships/font" Target="fonts/Tahoma-regular.ttf"/><Relationship Id="rId6" Type="http://schemas.openxmlformats.org/officeDocument/2006/relationships/font" Target="fonts/Tahom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