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y enlazando la ejecución de forma interactiva a la entrada y salida estándar del anfitrión.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estándar producida por el proceso en ejecución en el contendor.</w:t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a la carpeta “/tmp” del contenedor.</w:t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4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/home/sergi/target:/app nginx:latest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micontenedor:/app nginx:latest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“micontenedor”.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--tmpfs /app nginx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</w:p>
    <w:tbl>
      <w:tblPr>
        <w:tblStyle w:val="Table3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contenedor1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y que se monta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/datos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 Dicha copia finalmente acabará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/home/sergi/backup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de la máquina anfitrión.</w:t>
      </w:r>
    </w:p>
    <w:tbl>
      <w:tblPr>
        <w:tblStyle w:val="Table3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rm $(docker volume ls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todos los lúmenes de tu máquina.</w:t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básico de fichero “docker-compose.yml”</w:t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"3.9"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db:</w:t>
              <w:br w:type="textWrapping"/>
              <w:tab/>
              <w:t xml:space="preserve">image: mariadb:10.11.2</w:t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db_data:/var/lib/mysql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MARIADB_ROOT_PASSWORD: somewordpress</w:t>
              <w:br w:type="textWrapping"/>
              <w:t xml:space="preserve">     </w:t>
              <w:tab/>
              <w:t xml:space="preserve">    MARIADB_DATABASE: wordpress</w:t>
              <w:br w:type="textWrapping"/>
              <w:t xml:space="preserve">     </w:t>
              <w:tab/>
              <w:t xml:space="preserve">    MARIADB_USER: wordpress</w:t>
              <w:br w:type="textWrapping"/>
              <w:t xml:space="preserve">     </w:t>
              <w:tab/>
              <w:t xml:space="preserve">    MARIADB_PASSWORD: wordpress</w:t>
              <w:br w:type="textWrapping"/>
              <w:t xml:space="preserve">  wordpress:</w:t>
              <w:br w:type="textWrapping"/>
              <w:tab/>
              <w:t xml:space="preserve">image: wordpress:latest</w:t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WORDPRESS_DB_HOST: db: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</w:t>
              <w:tab/>
              <w:t xml:space="preserve">    WORDPRESS_DB_USER: wordpress</w:t>
              <w:br w:type="textWrapping"/>
              <w:t xml:space="preserve">     </w:t>
              <w:tab/>
              <w:t xml:space="preserve">    WORDPRESS_DB_PASSWORD: wordpress</w:t>
              <w:br w:type="textWrapping"/>
              <w:t xml:space="preserve">     </w:t>
              <w:tab/>
              <w:t xml:space="preserve">    WORDPRESS_DB_NAME: wordpress</w:t>
              <w:br w:type="textWrapping"/>
              <w:t xml:space="preserve">volumes:</w:t>
              <w:br w:type="textWrapping"/>
              <w:t xml:space="preserve">  db_data: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widowControl w:val="0"/>
        <w:spacing w:after="0" w:before="0" w:line="240" w:lineRule="auto"/>
        <w:ind w:left="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“Docker Compose”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up -d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el sistema definido en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en segundo plano. Genera y descarga imágenes.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down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Detiene y elimina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build/pull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Construye/descarga las imágenes de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ps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 para SI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1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  <w:style w:type="table" w:styleId="Table27">
    <w:basedOn w:val="TableNormal"/>
    <w:tblPr>
      <w:tblStyleRowBandSize w:val="1"/>
      <w:tblStyleColBandSize w:val="1"/>
    </w:tblPr>
  </w:style>
  <w:style w:type="table" w:styleId="Table28">
    <w:basedOn w:val="TableNormal"/>
    <w:tblPr>
      <w:tblStyleRowBandSize w:val="1"/>
      <w:tblStyleColBandSize w:val="1"/>
    </w:tblPr>
  </w:style>
  <w:style w:type="table" w:styleId="Table29">
    <w:basedOn w:val="TableNormal"/>
    <w:tblPr>
      <w:tblStyleRowBandSize w:val="1"/>
      <w:tblStyleColBandSize w:val="1"/>
    </w:tblPr>
  </w:style>
  <w:style w:type="table" w:styleId="Table30">
    <w:basedOn w:val="TableNormal"/>
    <w:tblPr>
      <w:tblStyleRowBandSize w:val="1"/>
      <w:tblStyleColBandSize w:val="1"/>
    </w:tblPr>
  </w:style>
  <w:style w:type="table" w:styleId="Table31">
    <w:basedOn w:val="TableNormal"/>
    <w:tblPr>
      <w:tblStyleRowBandSize w:val="1"/>
      <w:tblStyleColBandSize w:val="1"/>
    </w:tblPr>
  </w:style>
  <w:style w:type="table" w:styleId="Table32">
    <w:basedOn w:val="TableNormal"/>
    <w:tblPr>
      <w:tblStyleRowBandSize w:val="1"/>
      <w:tblStyleColBandSize w:val="1"/>
    </w:tblPr>
  </w:style>
  <w:style w:type="table" w:styleId="Table33">
    <w:basedOn w:val="TableNormal"/>
    <w:tblPr>
      <w:tblStyleRowBandSize w:val="1"/>
      <w:tblStyleColBandSize w:val="1"/>
    </w:tblPr>
  </w:style>
  <w:style w:type="table" w:styleId="Table34">
    <w:basedOn w:val="TableNormal"/>
    <w:tblPr>
      <w:tblStyleRowBandSize w:val="1"/>
      <w:tblStyleColBandSize w:val="1"/>
    </w:tblPr>
  </w:style>
  <w:style w:type="table" w:styleId="Table35">
    <w:basedOn w:val="TableNormal"/>
    <w:tblPr>
      <w:tblStyleRowBandSize w:val="1"/>
      <w:tblStyleColBandSize w:val="1"/>
    </w:tblPr>
  </w:style>
  <w:style w:type="table" w:styleId="Table36">
    <w:basedOn w:val="TableNormal"/>
    <w:tblPr>
      <w:tblStyleRowBandSize w:val="1"/>
      <w:tblStyleColBandSize w:val="1"/>
    </w:tblPr>
  </w:style>
  <w:style w:type="table" w:styleId="Table37">
    <w:basedOn w:val="TableNormal"/>
    <w:tblPr>
      <w:tblStyleRowBandSize w:val="1"/>
      <w:tblStyleColBandSize w:val="1"/>
    </w:tblPr>
  </w:style>
  <w:style w:type="table" w:styleId="Table38">
    <w:basedOn w:val="TableNormal"/>
    <w:tblPr>
      <w:tblStyleRowBandSize w:val="1"/>
      <w:tblStyleColBandSize w:val="1"/>
    </w:tblPr>
  </w:style>
  <w:style w:type="table" w:styleId="Table39">
    <w:basedOn w:val="TableNormal"/>
    <w:tblPr>
      <w:tblStyleRowBandSize w:val="1"/>
      <w:tblStyleColBandSize w:val="1"/>
    </w:tblPr>
  </w:style>
  <w:style w:type="table" w:styleId="Table4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