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the “Harvard modified architecture”.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can obtain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https://en.wikipedia.org/wiki/Modified_Harvard_architecture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Post the main differences with “Von Neumann architecture” in the forum and discuss them with your classmates.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</w:pPr>
      <w:bookmarkStart w:colFirst="0" w:colLast="0" w:name="_i9qwqxpxxal0" w:id="2"/>
      <w:bookmarkEnd w:id="2"/>
      <w:r w:rsidDel="00000000" w:rsidR="00000000" w:rsidRPr="00000000">
        <w:rPr>
          <w:rtl w:val="0"/>
        </w:rPr>
        <w:t xml:space="preserve">Exercise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Summarize how “Von Neumann architecture” works.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9qty9sagt37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Summarize the instruction cycle.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pdh5uz0euxm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Try to find 2 samples of CISC CPUs and 2 samples of RISC CPUs. Share them in the forum and discuss them with your classmates.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ot3uu3nsal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Follow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https://sites.google.com/site/kotukotuzimiti/</w:t>
        </w:r>
      </w:hyperlink>
      <w:r w:rsidDel="00000000" w:rsidR="00000000" w:rsidRPr="00000000">
        <w:rPr>
          <w:rtl w:val="0"/>
        </w:rPr>
        <w:t xml:space="preserve"> in order to understand how a 2 bit fictitious computer works. Share your solutions and ask your doubts using the forum.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UD01 -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UD01.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ites.google.com/site/kotukotuzimiti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dified_Harvard_architecture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