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an account called “miCompiExperto” with administrator profile and an account called “miCompiPeligroso” with normal user profile.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jyknhoa5qyz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Try to delete Windows folder with Account “miCompiPeligroso”. What happens?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rxa9xnzxppa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Configure Windows 10 to update manually. How can you search for updates with that configuration?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v1r513pkudw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Use Disk manager to shrink your disk. Use them to expand your disk again.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1a7isyiyipe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Deactivate a device. What happens? Activate it again.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54m6i8q9ls0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Configure BitLocker to cipher a partition.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si532pc1bsk" w:id="7"/>
      <w:bookmarkEnd w:id="7"/>
      <w:r w:rsidDel="00000000" w:rsidR="00000000" w:rsidRPr="00000000">
        <w:rPr>
          <w:rtl w:val="0"/>
        </w:rPr>
        <w:t xml:space="preserve">Exercise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Update Windows Defender and run a quick scan.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6zxo5x0qy0l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Use msconfig to: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(and later enable) a service (for example, Windows Audio).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(and later enable) a program that is run on Windows start.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d2fc598wac7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Using console: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file and directory structure shown in the picture of this exercise.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in a file “c:\temp_SI\data.txt” the name of all files of the created structure.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in a file “c:\temp_SI\dataWithA.txt” the name of all elements with an A in his name of the created structure.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“data.txt” file by name in “data_ordered.txt” (relative path).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“dataWithA.txt” file by name in “data_orderedWithA.txt” (relative path).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attributes of “data.txt”  (relative path) to hidden and read only.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attributes of “dataWithA.txt” (relative path) to system. </w:t>
        <w:tab/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37052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