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Hardware components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pinout: </w:t>
      </w:r>
      <w:r w:rsidDel="00000000" w:rsidR="00000000" w:rsidRPr="00000000">
        <w:rPr>
          <w:rtl w:val="0"/>
        </w:rPr>
        <w:t xml:space="preserve">patillaje.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casing: </w:t>
      </w:r>
      <w:r w:rsidDel="00000000" w:rsidR="00000000" w:rsidRPr="00000000">
        <w:rPr>
          <w:rtl w:val="0"/>
        </w:rPr>
        <w:t xml:space="preserve">caja, chasis.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plug: </w:t>
      </w:r>
      <w:r w:rsidDel="00000000" w:rsidR="00000000" w:rsidRPr="00000000">
        <w:rPr>
          <w:rtl w:val="0"/>
        </w:rPr>
        <w:t xml:space="preserve">enchufe.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anchors: </w:t>
      </w:r>
      <w:r w:rsidDel="00000000" w:rsidR="00000000" w:rsidRPr="00000000">
        <w:rPr>
          <w:rtl w:val="0"/>
        </w:rPr>
        <w:t xml:space="preserve">anclajes.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screw: </w:t>
      </w:r>
      <w:r w:rsidDel="00000000" w:rsidR="00000000" w:rsidRPr="00000000">
        <w:rPr>
          <w:rtl w:val="0"/>
        </w:rPr>
        <w:t xml:space="preserve">tornillos.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device: </w:t>
      </w:r>
      <w:r w:rsidDel="00000000" w:rsidR="00000000" w:rsidRPr="00000000">
        <w:rPr>
          <w:rtl w:val="0"/>
        </w:rPr>
        <w:t xml:space="preserve">dispositivo.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sticker: </w:t>
      </w:r>
      <w:r w:rsidDel="00000000" w:rsidR="00000000" w:rsidRPr="00000000">
        <w:rPr>
          <w:rtl w:val="0"/>
        </w:rPr>
        <w:t xml:space="preserve">pegatina.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hub: </w:t>
      </w:r>
      <w:r w:rsidDel="00000000" w:rsidR="00000000" w:rsidRPr="00000000">
        <w:rPr>
          <w:rtl w:val="0"/>
        </w:rPr>
        <w:t xml:space="preserve">concentrador.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heat sink/sink: </w:t>
      </w:r>
      <w:r w:rsidDel="00000000" w:rsidR="00000000" w:rsidRPr="00000000">
        <w:rPr>
          <w:rtl w:val="0"/>
        </w:rPr>
        <w:t xml:space="preserve">disipador.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core: </w:t>
      </w:r>
      <w:r w:rsidDel="00000000" w:rsidR="00000000" w:rsidRPr="00000000">
        <w:rPr>
          <w:rtl w:val="0"/>
        </w:rPr>
        <w:t xml:space="preserve">núcleo.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stage: </w:t>
      </w:r>
      <w:r w:rsidDel="00000000" w:rsidR="00000000" w:rsidRPr="00000000">
        <w:rPr>
          <w:rtl w:val="0"/>
        </w:rPr>
        <w:t xml:space="preserve">etapa.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flow rate: </w:t>
      </w:r>
      <w:r w:rsidDel="00000000" w:rsidR="00000000" w:rsidRPr="00000000">
        <w:rPr>
          <w:rtl w:val="0"/>
        </w:rPr>
        <w:t xml:space="preserve">caudal.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random: </w:t>
      </w:r>
      <w:r w:rsidDel="00000000" w:rsidR="00000000" w:rsidRPr="00000000">
        <w:rPr>
          <w:rtl w:val="0"/>
        </w:rPr>
        <w:t xml:space="preserve">aleatorio.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grid: </w:t>
      </w:r>
      <w:r w:rsidDel="00000000" w:rsidR="00000000" w:rsidRPr="00000000">
        <w:rPr>
          <w:rtl w:val="0"/>
        </w:rPr>
        <w:t xml:space="preserve">rejilla.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lay out: </w:t>
      </w:r>
      <w:r w:rsidDel="00000000" w:rsidR="00000000" w:rsidRPr="00000000">
        <w:rPr>
          <w:rtl w:val="0"/>
        </w:rPr>
        <w:t xml:space="preserve">disponer, ubicados.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run out: </w:t>
      </w:r>
      <w:r w:rsidDel="00000000" w:rsidR="00000000" w:rsidRPr="00000000">
        <w:rPr>
          <w:rtl w:val="0"/>
        </w:rPr>
        <w:t xml:space="preserve">agotarse.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rise: </w:t>
      </w:r>
      <w:r w:rsidDel="00000000" w:rsidR="00000000" w:rsidRPr="00000000">
        <w:rPr>
          <w:rtl w:val="0"/>
        </w:rPr>
        <w:t xml:space="preserve">subir.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07. Hardware components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