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Hardware components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pinout: </w:t>
      </w:r>
      <w:r w:rsidDel="00000000" w:rsidR="00000000" w:rsidRPr="00000000">
        <w:rPr>
          <w:rtl w:val="0"/>
        </w:rPr>
        <w:t xml:space="preserve">patillaje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casing: </w:t>
      </w:r>
      <w:r w:rsidDel="00000000" w:rsidR="00000000" w:rsidRPr="00000000">
        <w:rPr>
          <w:rtl w:val="0"/>
        </w:rPr>
        <w:t xml:space="preserve">caja, chasis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plug: </w:t>
      </w:r>
      <w:r w:rsidDel="00000000" w:rsidR="00000000" w:rsidRPr="00000000">
        <w:rPr>
          <w:rtl w:val="0"/>
        </w:rPr>
        <w:t xml:space="preserve">enchufe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anchors: </w:t>
      </w:r>
      <w:r w:rsidDel="00000000" w:rsidR="00000000" w:rsidRPr="00000000">
        <w:rPr>
          <w:rtl w:val="0"/>
        </w:rPr>
        <w:t xml:space="preserve">anclajes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screw: </w:t>
      </w:r>
      <w:r w:rsidDel="00000000" w:rsidR="00000000" w:rsidRPr="00000000">
        <w:rPr>
          <w:rtl w:val="0"/>
        </w:rPr>
        <w:t xml:space="preserve">tornillos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device: </w:t>
      </w:r>
      <w:r w:rsidDel="00000000" w:rsidR="00000000" w:rsidRPr="00000000">
        <w:rPr>
          <w:rtl w:val="0"/>
        </w:rPr>
        <w:t xml:space="preserve">dispositivo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sticker: </w:t>
      </w:r>
      <w:r w:rsidDel="00000000" w:rsidR="00000000" w:rsidRPr="00000000">
        <w:rPr>
          <w:rtl w:val="0"/>
        </w:rPr>
        <w:t xml:space="preserve">pegatina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hub: </w:t>
      </w:r>
      <w:r w:rsidDel="00000000" w:rsidR="00000000" w:rsidRPr="00000000">
        <w:rPr>
          <w:rtl w:val="0"/>
        </w:rPr>
        <w:t xml:space="preserve">concentrador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heat sink/sink: </w:t>
      </w:r>
      <w:r w:rsidDel="00000000" w:rsidR="00000000" w:rsidRPr="00000000">
        <w:rPr>
          <w:rtl w:val="0"/>
        </w:rPr>
        <w:t xml:space="preserve">disipador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core: </w:t>
      </w:r>
      <w:r w:rsidDel="00000000" w:rsidR="00000000" w:rsidRPr="00000000">
        <w:rPr>
          <w:rtl w:val="0"/>
        </w:rPr>
        <w:t xml:space="preserve">núcleo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stage: </w:t>
      </w:r>
      <w:r w:rsidDel="00000000" w:rsidR="00000000" w:rsidRPr="00000000">
        <w:rPr>
          <w:rtl w:val="0"/>
        </w:rPr>
        <w:t xml:space="preserve">etapa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flow rate: </w:t>
      </w:r>
      <w:r w:rsidDel="00000000" w:rsidR="00000000" w:rsidRPr="00000000">
        <w:rPr>
          <w:rtl w:val="0"/>
        </w:rPr>
        <w:t xml:space="preserve">caudal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random: </w:t>
      </w:r>
      <w:r w:rsidDel="00000000" w:rsidR="00000000" w:rsidRPr="00000000">
        <w:rPr>
          <w:rtl w:val="0"/>
        </w:rPr>
        <w:t xml:space="preserve">aleatorio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grid: </w:t>
      </w:r>
      <w:r w:rsidDel="00000000" w:rsidR="00000000" w:rsidRPr="00000000">
        <w:rPr>
          <w:rtl w:val="0"/>
        </w:rPr>
        <w:t xml:space="preserve">rejilla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lay out: </w:t>
      </w:r>
      <w:r w:rsidDel="00000000" w:rsidR="00000000" w:rsidRPr="00000000">
        <w:rPr>
          <w:rtl w:val="0"/>
        </w:rPr>
        <w:t xml:space="preserve">disponer, ubicados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run out: </w:t>
      </w:r>
      <w:r w:rsidDel="00000000" w:rsidR="00000000" w:rsidRPr="00000000">
        <w:rPr>
          <w:rtl w:val="0"/>
        </w:rPr>
        <w:t xml:space="preserve">agotarse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rise: </w:t>
      </w:r>
      <w:r w:rsidDel="00000000" w:rsidR="00000000" w:rsidRPr="00000000">
        <w:rPr>
          <w:rtl w:val="0"/>
        </w:rPr>
        <w:t xml:space="preserve">subir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07. Hardware components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