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widowControl w:val="1"/>
        <w:spacing w:after="0" w:before="1440" w:lineRule="auto"/>
        <w:rPr>
          <w:rFonts w:ascii="Proxima Nova" w:cs="Proxima Nova" w:eastAsia="Proxima Nova" w:hAnsi="Proxima Nova"/>
          <w:color w:val="404040"/>
          <w:sz w:val="88"/>
          <w:szCs w:val="88"/>
        </w:rPr>
      </w:pPr>
      <w:bookmarkStart w:colFirst="0" w:colLast="0" w:name="_aczyuw2yex2w" w:id="0"/>
      <w:bookmarkEnd w:id="0"/>
      <w:r w:rsidDel="00000000" w:rsidR="00000000" w:rsidRPr="00000000">
        <w:rPr>
          <w:rFonts w:ascii="Proxima Nova" w:cs="Proxima Nova" w:eastAsia="Proxima Nova" w:hAnsi="Proxima Nova"/>
          <w:b w:val="0"/>
          <w:bCs w:val="0"/>
          <w:color w:val="669966"/>
          <w:sz w:val="48"/>
          <w:szCs w:val="48"/>
          <w:rtl w:val="0"/>
        </w:rPr>
        <w:t xml:space="preserve">Introducción a Docker y Kubernetes</w:t>
      </w:r>
      <w:r w:rsidDel="00000000" w:rsidR="00000000" w:rsidRPr="00000000">
        <w:rPr>
          <w:rFonts w:ascii="Proxima Nova" w:cs="Proxima Nova" w:eastAsia="Proxima Nova" w:hAnsi="Proxima Nova"/>
          <w:color w:val="404040"/>
          <w:sz w:val="96"/>
          <w:szCs w:val="96"/>
          <w:rtl w:val="0"/>
        </w:rPr>
        <w:br w:type="textWrapping"/>
      </w:r>
      <w:r w:rsidDel="00000000" w:rsidR="00000000" w:rsidRPr="00000000">
        <w:rPr>
          <w:rFonts w:ascii="Proxima Nova" w:cs="Proxima Nova" w:eastAsia="Proxima Nova" w:hAnsi="Proxima Nova"/>
          <w:color w:val="404040"/>
          <w:sz w:val="88"/>
          <w:szCs w:val="88"/>
          <w:rtl w:val="0"/>
        </w:rPr>
        <w:t xml:space="preserve">UD 05. Actividades entregables</w:t>
      </w:r>
    </w:p>
    <w:p w:rsidR="00000000" w:rsidDel="00000000" w:rsidP="00000000" w:rsidRDefault="00000000" w:rsidRPr="00000000" w14:paraId="00000002">
      <w:pPr>
        <w:pageBreakBefore w:val="0"/>
        <w:widowControl w:val="1"/>
        <w:spacing w:after="3600" w:before="2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inline distB="114300" distT="114300" distL="114300" distR="114300">
            <wp:extent cx="447675" cy="57150"/>
            <wp:effectExtent b="0" l="0" r="0" t="0"/>
            <wp:docPr descr="short line" id="3" name="image2.png"/>
            <a:graphic>
              <a:graphicData uri="http://schemas.openxmlformats.org/drawingml/2006/picture">
                <pic:pic>
                  <pic:nvPicPr>
                    <pic:cNvPr descr="short line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</w:rPr>
        <w:drawing>
          <wp:inline distB="114300" distT="114300" distL="114300" distR="114300">
            <wp:extent cx="6120000" cy="4445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Autor: Sergi García Barea</w:t>
      </w:r>
    </w:p>
    <w:p w:rsidR="00000000" w:rsidDel="00000000" w:rsidP="00000000" w:rsidRDefault="00000000" w:rsidRPr="00000000" w14:paraId="0000000C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Actualizado Enero 2026</w:t>
      </w:r>
    </w:p>
    <w:p w:rsidR="00000000" w:rsidDel="00000000" w:rsidP="00000000" w:rsidRDefault="00000000" w:rsidRPr="00000000" w14:paraId="0000000D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Licencia</w:t>
      </w:r>
    </w:p>
    <w:p w:rsidR="00000000" w:rsidDel="00000000" w:rsidP="00000000" w:rsidRDefault="00000000" w:rsidRPr="00000000" w14:paraId="0000000E">
      <w:pPr>
        <w:pageBreakBefore w:val="0"/>
        <w:ind w:left="395" w:right="404" w:firstLine="0"/>
        <w:rPr>
          <w:rFonts w:ascii="Verdana" w:cs="Verdana" w:eastAsia="Verdana" w:hAnsi="Verdana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ind w:left="395" w:right="404" w:firstLine="0"/>
        <w:rPr/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0"/>
          <w:szCs w:val="20"/>
          <w:rtl w:val="0"/>
        </w:rPr>
        <w:t xml:space="preserve">Reconocimiento – NoComercial - CompartirIgual (BY-NC-SA)</w:t>
      </w:r>
      <w:r w:rsidDel="00000000" w:rsidR="00000000" w:rsidRPr="00000000">
        <w:rPr>
          <w:rFonts w:ascii="Verdana" w:cs="Verdana" w:eastAsia="Verdana" w:hAnsi="Verdana"/>
          <w:sz w:val="20"/>
          <w:szCs w:val="20"/>
          <w:rtl w:val="0"/>
        </w:rPr>
        <w:t xml:space="preserve">: No se permite un uso comercial de la obra original ni de las posibles obras derivadas, la distribución de las cuales se debe hacer con una licencia igual a la que regula la obra original.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219075</wp:posOffset>
            </wp:positionH>
            <wp:positionV relativeFrom="paragraph">
              <wp:posOffset>85725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0">
      <w:pPr>
        <w:pageBreakBefore w:val="0"/>
        <w:ind w:firstLine="113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ind w:firstLine="113"/>
        <w:rPr/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Nomenclatura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ind w:firstLine="113"/>
        <w:rPr/>
      </w:pPr>
      <w:r w:rsidDel="00000000" w:rsidR="00000000" w:rsidRPr="00000000">
        <w:rPr>
          <w:rtl w:val="0"/>
        </w:rPr>
        <w:t xml:space="preserve">A lo largo de este tema se utilizarán distintos símbolos para distinguir elementos importantes dentro del contenido. Estos símbolos son:</w:t>
      </w:r>
    </w:p>
    <w:p w:rsidR="00000000" w:rsidDel="00000000" w:rsidP="00000000" w:rsidRDefault="00000000" w:rsidRPr="00000000" w14:paraId="00000013">
      <w:pPr>
        <w:pageBreakBefore w:val="0"/>
        <w:ind w:firstLine="1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 📖 </w:t>
      </w:r>
      <w:r w:rsidDel="00000000" w:rsidR="00000000" w:rsidRPr="00000000">
        <w:rPr>
          <w:b w:val="1"/>
          <w:bCs w:val="1"/>
          <w:rtl w:val="0"/>
        </w:rPr>
        <w:t xml:space="preserve">Importante</w:t>
      </w:r>
    </w:p>
    <w:p w:rsidR="00000000" w:rsidDel="00000000" w:rsidP="00000000" w:rsidRDefault="00000000" w:rsidRPr="00000000" w14:paraId="00000015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Atención</w:t>
      </w:r>
    </w:p>
    <w:p w:rsidR="00000000" w:rsidDel="00000000" w:rsidP="00000000" w:rsidRDefault="00000000" w:rsidRPr="00000000" w14:paraId="00000017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/>
      </w:pPr>
      <w:r w:rsidDel="00000000" w:rsidR="00000000" w:rsidRPr="00000000">
        <w:rPr>
          <w:sz w:val="20"/>
          <w:szCs w:val="20"/>
          <w:rtl w:val="0"/>
        </w:rPr>
        <w:t xml:space="preserve"> 💬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Interesante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1"/>
        <w:pageBreakBefore w:val="0"/>
        <w:spacing w:after="120" w:before="240" w:lineRule="auto"/>
        <w:rPr>
          <w:rFonts w:ascii="Arial" w:cs="Arial" w:eastAsia="Arial" w:hAnsi="Arial"/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sz w:val="32"/>
          <w:szCs w:val="32"/>
          <w:rtl w:val="0"/>
        </w:rPr>
        <w:t xml:space="preserve">Índice de contenido</w:t>
      </w:r>
    </w:p>
    <w:sdt>
      <w:sdtPr>
        <w:id w:val="-68503160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A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dbh0n1vac4c8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1. Introducción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hyperlink w:anchor="_vyhbfp4t666x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2. Entrega “Caso práctico 1”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hyperlink w:anchor="_ow4x0s724zlg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3. Entrega “Caso práctico 2”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hyperlink w:anchor="_zer127gbm0zw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4. Entrega “Caso práctico 3”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hyperlink w:anchor="_xu5on6towlw5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5. Entrega “Caso práctico 4”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F">
      <w:pPr>
        <w:keepNext w:val="1"/>
        <w:pageBreakBefore w:val="0"/>
        <w:spacing w:after="120" w:before="240" w:lineRule="auto"/>
        <w:rPr>
          <w:rFonts w:ascii="Arial" w:cs="Arial" w:eastAsia="Arial" w:hAnsi="Arial"/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ageBreakBefore w:val="0"/>
        <w:spacing w:after="0" w:before="0" w:lineRule="auto"/>
        <w:jc w:val="right"/>
        <w:rPr>
          <w:smallCaps w:val="1"/>
          <w:color w:val="336633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ageBreakBefore w:val="0"/>
        <w:spacing w:after="0" w:before="0" w:lineRule="auto"/>
        <w:jc w:val="right"/>
        <w:rPr>
          <w:smallCaps w:val="1"/>
          <w:color w:val="336633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ageBreakBefore w:val="0"/>
        <w:spacing w:after="0" w:before="0" w:lineRule="auto"/>
        <w:jc w:val="right"/>
        <w:rPr/>
      </w:pPr>
      <w:r w:rsidDel="00000000" w:rsidR="00000000" w:rsidRPr="00000000">
        <w:rPr>
          <w:smallCaps w:val="1"/>
          <w:color w:val="336633"/>
          <w:sz w:val="32"/>
          <w:szCs w:val="32"/>
          <w:rtl w:val="0"/>
        </w:rPr>
        <w:t xml:space="preserve">UD05. Actividades entregables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pageBreakBefore w:val="0"/>
        <w:numPr>
          <w:ilvl w:val="0"/>
          <w:numId w:val="1"/>
        </w:numPr>
        <w:ind w:left="432"/>
      </w:pPr>
      <w:bookmarkStart w:colFirst="0" w:colLast="0" w:name="_dbh0n1vac4c8" w:id="1"/>
      <w:bookmarkEnd w:id="1"/>
      <w:r w:rsidDel="00000000" w:rsidR="00000000" w:rsidRPr="00000000">
        <w:rPr>
          <w:rtl w:val="0"/>
        </w:rPr>
        <w:t xml:space="preserve">Introducción</w:t>
      </w:r>
    </w:p>
    <w:p w:rsidR="00000000" w:rsidDel="00000000" w:rsidP="00000000" w:rsidRDefault="00000000" w:rsidRPr="00000000" w14:paraId="00000031">
      <w:pPr>
        <w:pageBreakBefore w:val="0"/>
        <w:rPr/>
      </w:pPr>
      <w:r w:rsidDel="00000000" w:rsidR="00000000" w:rsidRPr="00000000">
        <w:rPr>
          <w:rtl w:val="0"/>
        </w:rPr>
        <w:t xml:space="preserve">En esta unidad debes entregar un PDF/ODT </w:t>
      </w:r>
      <w:r w:rsidDel="00000000" w:rsidR="00000000" w:rsidRPr="00000000">
        <w:rPr>
          <w:b w:val="1"/>
          <w:bCs w:val="1"/>
          <w:i w:val="1"/>
          <w:iCs w:val="1"/>
          <w:u w:val="single"/>
          <w:rtl w:val="0"/>
        </w:rPr>
        <w:t xml:space="preserve">donde elijas 2 de los 4 casos prácticos</w:t>
      </w:r>
      <w:r w:rsidDel="00000000" w:rsidR="00000000" w:rsidRPr="00000000">
        <w:rPr>
          <w:rtl w:val="0"/>
        </w:rPr>
        <w:t xml:space="preserve"> y demuestres su realización. A continuación indicamos que entregar en cada uno de los casos prácticos.</w:t>
      </w:r>
    </w:p>
    <w:p w:rsidR="00000000" w:rsidDel="00000000" w:rsidP="00000000" w:rsidRDefault="00000000" w:rsidRPr="00000000" w14:paraId="00000032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/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Atención:</w:t>
      </w:r>
      <w:r w:rsidDel="00000000" w:rsidR="00000000" w:rsidRPr="00000000">
        <w:rPr>
          <w:rtl w:val="0"/>
        </w:rPr>
        <w:t xml:space="preserve"> por si tu mente se lo ha saltado… </w:t>
      </w:r>
      <w:r w:rsidDel="00000000" w:rsidR="00000000" w:rsidRPr="00000000">
        <w:rPr>
          <w:b w:val="1"/>
          <w:bCs w:val="1"/>
          <w:rtl w:val="0"/>
        </w:rPr>
        <w:t xml:space="preserve">¡Solo 2 de los 4 casos prácticos!</w:t>
      </w:r>
      <w:r w:rsidDel="00000000" w:rsidR="00000000" w:rsidRPr="00000000">
        <w:rPr>
          <w:rtl w:val="0"/>
        </w:rPr>
        <w:t xml:space="preserve"> :)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pageBreakBefore w:val="0"/>
        <w:numPr>
          <w:ilvl w:val="0"/>
          <w:numId w:val="1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vyhbfp4t666x" w:id="2"/>
      <w:bookmarkEnd w:id="2"/>
      <w:r w:rsidDel="00000000" w:rsidR="00000000" w:rsidRPr="00000000">
        <w:rPr>
          <w:rtl w:val="0"/>
        </w:rPr>
        <w:t xml:space="preserve">Entrega “Caso práctico 1”</w:t>
      </w:r>
    </w:p>
    <w:p w:rsidR="00000000" w:rsidDel="00000000" w:rsidP="00000000" w:rsidRDefault="00000000" w:rsidRPr="00000000" w14:paraId="00000035">
      <w:pPr>
        <w:pageBreakBefore w:val="0"/>
        <w:rPr/>
      </w:pPr>
      <w:r w:rsidDel="00000000" w:rsidR="00000000" w:rsidRPr="00000000">
        <w:rPr>
          <w:rtl w:val="0"/>
        </w:rPr>
        <w:t xml:space="preserve">Adjunta una captura donde se muestre que Wordpress funciona y otra captura donde se pueda observar que los dos contenedores están funcionando (con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docker ps</w:t>
      </w:r>
      <w:r w:rsidDel="00000000" w:rsidR="00000000" w:rsidRPr="00000000">
        <w:rPr>
          <w:rtl w:val="0"/>
        </w:rPr>
        <w:t xml:space="preserve">”).</w:t>
      </w:r>
    </w:p>
    <w:p w:rsidR="00000000" w:rsidDel="00000000" w:rsidP="00000000" w:rsidRDefault="00000000" w:rsidRPr="00000000" w14:paraId="00000036">
      <w:pPr>
        <w:pStyle w:val="Heading1"/>
        <w:pageBreakBefore w:val="0"/>
        <w:numPr>
          <w:ilvl w:val="0"/>
          <w:numId w:val="1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ow4x0s724zlg" w:id="3"/>
      <w:bookmarkEnd w:id="3"/>
      <w:r w:rsidDel="00000000" w:rsidR="00000000" w:rsidRPr="00000000">
        <w:rPr>
          <w:rtl w:val="0"/>
        </w:rPr>
        <w:t xml:space="preserve">Entrega “Caso práctico 2”</w:t>
      </w:r>
    </w:p>
    <w:p w:rsidR="00000000" w:rsidDel="00000000" w:rsidP="00000000" w:rsidRDefault="00000000" w:rsidRPr="00000000" w14:paraId="00000037">
      <w:pPr>
        <w:pageBreakBefore w:val="0"/>
        <w:rPr/>
      </w:pPr>
      <w:r w:rsidDel="00000000" w:rsidR="00000000" w:rsidRPr="00000000">
        <w:rPr>
          <w:rtl w:val="0"/>
        </w:rPr>
        <w:t xml:space="preserve">Adjunta una captura donde se muestre que el balanceo de carga funciona correctamente y otra captura donde se pueda observar que los contenedores están en marcha.</w:t>
      </w:r>
    </w:p>
    <w:p w:rsidR="00000000" w:rsidDel="00000000" w:rsidP="00000000" w:rsidRDefault="00000000" w:rsidRPr="00000000" w14:paraId="00000038">
      <w:pPr>
        <w:pStyle w:val="Heading1"/>
        <w:pageBreakBefore w:val="0"/>
        <w:numPr>
          <w:ilvl w:val="0"/>
          <w:numId w:val="1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zer127gbm0zw" w:id="4"/>
      <w:bookmarkEnd w:id="4"/>
      <w:r w:rsidDel="00000000" w:rsidR="00000000" w:rsidRPr="00000000">
        <w:rPr>
          <w:rtl w:val="0"/>
        </w:rPr>
        <w:t xml:space="preserve">Entrega “Caso práctico 3”</w:t>
      </w:r>
    </w:p>
    <w:p w:rsidR="00000000" w:rsidDel="00000000" w:rsidP="00000000" w:rsidRDefault="00000000" w:rsidRPr="00000000" w14:paraId="00000039">
      <w:pPr>
        <w:pageBreakBefore w:val="0"/>
        <w:rPr/>
      </w:pPr>
      <w:r w:rsidDel="00000000" w:rsidR="00000000" w:rsidRPr="00000000">
        <w:rPr>
          <w:rtl w:val="0"/>
        </w:rPr>
        <w:t xml:space="preserve">Adjunta una captura donde se muestre como se ha accedido a MySQL y se ha hecho la consulta de prueba de rendimiento propuestas.</w:t>
      </w:r>
    </w:p>
    <w:p w:rsidR="00000000" w:rsidDel="00000000" w:rsidP="00000000" w:rsidRDefault="00000000" w:rsidRPr="00000000" w14:paraId="0000003A">
      <w:pPr>
        <w:pStyle w:val="Heading1"/>
        <w:numPr>
          <w:ilvl w:val="0"/>
          <w:numId w:val="1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xu5on6towlw5" w:id="5"/>
      <w:bookmarkEnd w:id="5"/>
      <w:r w:rsidDel="00000000" w:rsidR="00000000" w:rsidRPr="00000000">
        <w:rPr>
          <w:rtl w:val="0"/>
        </w:rPr>
        <w:t xml:space="preserve">Entrega “Caso práctico 4”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Adjunta una captura donde se muestre como  Grafana funciona correctamente.</w:t>
      </w:r>
    </w:p>
    <w:p w:rsidR="00000000" w:rsidDel="00000000" w:rsidP="00000000" w:rsidRDefault="00000000" w:rsidRPr="00000000" w14:paraId="0000003C">
      <w:pPr>
        <w:pageBreakBefore w:val="0"/>
        <w:rPr/>
      </w:pPr>
      <w:r w:rsidDel="00000000" w:rsidR="00000000" w:rsidRPr="00000000">
        <w:rPr>
          <w:rtl w:val="0"/>
        </w:rPr>
      </w:r>
    </w:p>
    <w:sectPr>
      <w:headerReference r:id="rId9" w:type="default"/>
      <w:headerReference r:id="rId10" w:type="first"/>
      <w:footerReference r:id="rId11" w:type="default"/>
      <w:footerReference r:id="rId12" w:type="first"/>
      <w:pgSz w:h="16838" w:w="11906" w:orient="portrait"/>
      <w:pgMar w:bottom="1133.8582677165355" w:top="1133.8582677165355" w:left="1133.8582677165355" w:right="1133.8582677165355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Verdana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rim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Tahoma">
    <w:embedRegular w:fontKey="{00000000-0000-0000-0000-000000000000}" r:id="rId9" w:subsetted="0"/>
    <w:embedBold w:fontKey="{00000000-0000-0000-0000-000000000000}" r:id="rId10" w:subsetted="0"/>
  </w:font>
  <w:font w:name="Pacifico">
    <w:embedRegular w:fontKey="{00000000-0000-0000-0000-000000000000}" r:id="rId1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pageBreakBefore w:val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2">
    <w:pPr>
      <w:pageBreakBefore w:val="0"/>
      <w:pBdr>
        <w:top w:color="666633" w:space="2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Curso Introducción a Docker</w:t>
      <w:tab/>
      <w:tab/>
      <w:t xml:space="preserve">UD05 - Página </w:t>
    </w: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3">
    <w:pPr>
      <w:pageBreakBefore w:val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E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F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Curso Introducción a Docker </w:t>
      <w:tab/>
      <w:tab/>
      <w:t xml:space="preserve">UD05. Actividades entregables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0">
    <w:pPr>
      <w:pageBreakBefore w:val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32" w:hanging="432"/>
      </w:pPr>
      <w:rPr/>
    </w:lvl>
    <w:lvl w:ilvl="1">
      <w:start w:val="1"/>
      <w:numFmt w:val="decimal"/>
      <w:lvlText w:val=" %1.%2 "/>
      <w:lvlJc w:val="left"/>
      <w:pPr>
        <w:ind w:left="576" w:hanging="576"/>
      </w:pPr>
      <w:rPr/>
    </w:lvl>
    <w:lvl w:ilvl="2">
      <w:start w:val="1"/>
      <w:numFmt w:val="decimal"/>
      <w:lvlText w:val=" %1.%2.%3 "/>
      <w:lvlJc w:val="left"/>
      <w:pPr>
        <w:ind w:left="720" w:hanging="720"/>
      </w:pPr>
      <w:rPr/>
    </w:lvl>
    <w:lvl w:ilvl="3">
      <w:start w:val="1"/>
      <w:numFmt w:val="decimal"/>
      <w:lvlText w:val=" %1.%2.%3.%4 "/>
      <w:lvlJc w:val="left"/>
      <w:pPr>
        <w:ind w:left="864" w:hanging="864"/>
      </w:pPr>
      <w:rPr/>
    </w:lvl>
    <w:lvl w:ilvl="4">
      <w:start w:val="1"/>
      <w:numFmt w:val="decimal"/>
      <w:lvlText w:val=" %1.%2.%3.%4.%5 "/>
      <w:lvlJc w:val="left"/>
      <w:pPr>
        <w:ind w:left="1008.0000000000001" w:hanging="1008.0000000000001"/>
      </w:pPr>
      <w:rPr/>
    </w:lvl>
    <w:lvl w:ilvl="5">
      <w:start w:val="1"/>
      <w:numFmt w:val="decimal"/>
      <w:lvlText w:val=" %1.%2.%3.%4.%5.%6 "/>
      <w:lvlJc w:val="left"/>
      <w:pPr>
        <w:ind w:left="1152" w:hanging="1152"/>
      </w:pPr>
      <w:rPr/>
    </w:lvl>
    <w:lvl w:ilvl="6">
      <w:start w:val="1"/>
      <w:numFmt w:val="decimal"/>
      <w:lvlText w:val=" %1.%2.%3.%4.%5.%6.%7 "/>
      <w:lvlJc w:val="left"/>
      <w:pPr>
        <w:ind w:left="1296" w:hanging="1296"/>
      </w:pPr>
      <w:rPr/>
    </w:lvl>
    <w:lvl w:ilvl="7">
      <w:start w:val="1"/>
      <w:numFmt w:val="decimal"/>
      <w:lvlText w:val=" %1.%2.%3.%4.%5.%6.%7.%8 "/>
      <w:lvlJc w:val="left"/>
      <w:pPr>
        <w:ind w:left="1440" w:hanging="1440"/>
      </w:pPr>
      <w:rPr/>
    </w:lvl>
    <w:lvl w:ilvl="8">
      <w:start w:val="1"/>
      <w:numFmt w:val="decimal"/>
      <w:lvlText w:val=" %1.%2.%3.%4.%5.%6.%7.%8.%9 "/>
      <w:lvlJc w:val="left"/>
      <w:pPr>
        <w:ind w:left="1584" w:hanging="1584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s"/>
      </w:rPr>
    </w:rPrDefault>
    <w:pPrDefault>
      <w:pPr>
        <w:widowControl w:val="0"/>
        <w:spacing w:after="62" w:before="57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0"/>
      <w:spacing w:after="289" w:before="238" w:lineRule="auto"/>
      <w:jc w:val="left"/>
    </w:pPr>
    <w:rPr>
      <w:smallCaps w:val="1"/>
      <w:color w:val="669966"/>
      <w:sz w:val="28"/>
      <w:szCs w:val="28"/>
    </w:rPr>
  </w:style>
  <w:style w:type="paragraph" w:styleId="Heading2">
    <w:name w:val="heading 2"/>
    <w:basedOn w:val="Normal"/>
    <w:next w:val="Normal"/>
    <w:pPr>
      <w:keepNext w:val="1"/>
      <w:pageBreakBefore w:val="0"/>
      <w:spacing w:after="142" w:before="181" w:lineRule="auto"/>
      <w:ind w:left="576"/>
      <w:jc w:val="left"/>
    </w:pPr>
    <w:rPr>
      <w:color w:val="669966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119" w:before="181" w:lineRule="auto"/>
      <w:ind w:left="720" w:hanging="720"/>
      <w:jc w:val="left"/>
    </w:pPr>
    <w:rPr>
      <w:rFonts w:ascii="Arial" w:cs="Arial" w:eastAsia="Arial" w:hAnsi="Arial"/>
      <w:b w:val="0"/>
      <w:bCs w:val="0"/>
      <w:smallCaps w:val="0"/>
      <w:color w:val="669966"/>
      <w:sz w:val="22"/>
      <w:szCs w:val="22"/>
    </w:rPr>
  </w:style>
  <w:style w:type="paragraph" w:styleId="Heading4">
    <w:name w:val="heading 4"/>
    <w:basedOn w:val="Normal"/>
    <w:next w:val="Normal"/>
    <w:pPr>
      <w:keepNext w:val="1"/>
      <w:pageBreakBefore w:val="0"/>
      <w:spacing w:after="119" w:before="181" w:lineRule="auto"/>
      <w:ind w:left="864" w:hanging="864"/>
      <w:jc w:val="left"/>
    </w:pPr>
    <w:rPr>
      <w:rFonts w:ascii="Arial" w:cs="Arial" w:eastAsia="Arial" w:hAnsi="Arial"/>
      <w:b w:val="1"/>
      <w:bCs w:val="1"/>
      <w:i w:val="1"/>
      <w:iCs w:val="1"/>
      <w:smallCaps w:val="0"/>
      <w:sz w:val="21"/>
      <w:szCs w:val="21"/>
      <w:u w:val="single"/>
    </w:rPr>
  </w:style>
  <w:style w:type="paragraph" w:styleId="Heading5">
    <w:name w:val="heading 5"/>
    <w:basedOn w:val="Normal"/>
    <w:next w:val="Normal"/>
    <w:pPr>
      <w:keepNext w:val="1"/>
      <w:pageBreakBefore w:val="0"/>
      <w:spacing w:after="120" w:before="240" w:lineRule="auto"/>
      <w:ind w:left="1008" w:hanging="1008"/>
      <w:jc w:val="left"/>
    </w:pPr>
    <w:rPr>
      <w:rFonts w:ascii="Arial" w:cs="Arial" w:eastAsia="Arial" w:hAnsi="Arial"/>
      <w:b w:val="1"/>
      <w:bCs w:val="1"/>
      <w:smallCaps w:val="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header" Target="head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11" Type="http://schemas.openxmlformats.org/officeDocument/2006/relationships/font" Target="fonts/Pacifico-regular.ttf"/><Relationship Id="rId10" Type="http://schemas.openxmlformats.org/officeDocument/2006/relationships/font" Target="fonts/Tahoma-bold.ttf"/><Relationship Id="rId9" Type="http://schemas.openxmlformats.org/officeDocument/2006/relationships/font" Target="fonts/Tahoma-regular.ttf"/><Relationship Id="rId5" Type="http://schemas.openxmlformats.org/officeDocument/2006/relationships/font" Target="fonts/Arimo-regular.ttf"/><Relationship Id="rId6" Type="http://schemas.openxmlformats.org/officeDocument/2006/relationships/font" Target="fonts/Arimo-bold.ttf"/><Relationship Id="rId7" Type="http://schemas.openxmlformats.org/officeDocument/2006/relationships/font" Target="fonts/Arimo-italic.ttf"/><Relationship Id="rId8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