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a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p w:rsidR="00000000" w:rsidDel="00000000" w:rsidP="00000000" w:rsidRDefault="00000000" w:rsidRPr="00000000" w14:paraId="0000006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4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 --scale web=3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 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7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4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8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7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