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Docker y Kubernetes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Caso práctico 03 - Accediendo a interfaz gráfica con NoVNC</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Pr>
        <w:drawing>
          <wp:inline distB="114300" distT="114300" distL="114300" distR="114300">
            <wp:extent cx="6120000" cy="4445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00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2025</w:t>
      </w:r>
    </w:p>
    <w:p w:rsidR="00000000" w:rsidDel="00000000" w:rsidP="00000000" w:rsidRDefault="00000000" w:rsidRPr="00000000" w14:paraId="0000000A">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B">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C">
      <w:pPr>
        <w:pageBreakBefore w:val="0"/>
        <w:ind w:left="395" w:right="404"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D">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0E">
      <w:pPr>
        <w:pageBreakBefore w:val="0"/>
        <w:ind w:firstLine="113"/>
        <w:rPr/>
      </w:pPr>
      <w:r w:rsidDel="00000000" w:rsidR="00000000" w:rsidRPr="00000000">
        <w:rPr>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pageBreakBefore w:val="0"/>
        <w:ind w:firstLine="113"/>
        <w:rPr/>
      </w:pPr>
      <w:r w:rsidDel="00000000" w:rsidR="00000000" w:rsidRPr="00000000">
        <w:rPr>
          <w:rtl w:val="0"/>
        </w:rPr>
      </w:r>
    </w:p>
    <w:p w:rsidR="00000000" w:rsidDel="00000000" w:rsidP="00000000" w:rsidRDefault="00000000" w:rsidRPr="00000000" w14:paraId="0000001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p>
    <w:sdt>
      <w:sdtPr>
        <w:docPartObj>
          <w:docPartGallery w:val="Table of Contents"/>
          <w:docPartUnique w:val="1"/>
        </w:docPartObj>
      </w:sdtPr>
      <w:sdtContent>
        <w:p w:rsidR="00000000" w:rsidDel="00000000" w:rsidP="00000000" w:rsidRDefault="00000000" w:rsidRPr="00000000" w14:paraId="00000015">
          <w:pPr>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b w:val="1"/>
                <w:color w:val="000000"/>
                <w:u w:val="none"/>
                <w:rtl w:val="0"/>
              </w:rPr>
              <w:t xml:space="preserve">1. Introducción</w:t>
              <w:tab/>
              <w:t xml:space="preserve">2</w:t>
            </w:r>
          </w:hyperlink>
          <w:r w:rsidDel="00000000" w:rsidR="00000000" w:rsidRPr="00000000">
            <w:rPr>
              <w:rtl w:val="0"/>
            </w:rPr>
          </w:r>
        </w:p>
        <w:p w:rsidR="00000000" w:rsidDel="00000000" w:rsidP="00000000" w:rsidRDefault="00000000" w:rsidRPr="00000000" w14:paraId="00000016">
          <w:pPr>
            <w:tabs>
              <w:tab w:val="right" w:leader="none" w:pos="12000"/>
            </w:tabs>
            <w:spacing w:after="0" w:before="60" w:lineRule="auto"/>
            <w:jc w:val="left"/>
            <w:rPr>
              <w:b w:val="1"/>
              <w:color w:val="000000"/>
              <w:u w:val="none"/>
            </w:rPr>
          </w:pPr>
          <w:hyperlink w:anchor="_vyhbfp4t666x">
            <w:r w:rsidDel="00000000" w:rsidR="00000000" w:rsidRPr="00000000">
              <w:rPr>
                <w:b w:val="1"/>
                <w:color w:val="000000"/>
                <w:u w:val="none"/>
                <w:rtl w:val="0"/>
              </w:rPr>
              <w:t xml:space="preserve">2. Preparando el contenedor</w:t>
              <w:tab/>
              <w:t xml:space="preserve">3</w:t>
            </w:r>
          </w:hyperlink>
          <w:r w:rsidDel="00000000" w:rsidR="00000000" w:rsidRPr="00000000">
            <w:rPr>
              <w:rtl w:val="0"/>
            </w:rPr>
          </w:r>
        </w:p>
        <w:p w:rsidR="00000000" w:rsidDel="00000000" w:rsidP="00000000" w:rsidRDefault="00000000" w:rsidRPr="00000000" w14:paraId="00000017">
          <w:pPr>
            <w:tabs>
              <w:tab w:val="right" w:leader="none" w:pos="12000"/>
            </w:tabs>
            <w:spacing w:after="0" w:before="60" w:lineRule="auto"/>
            <w:jc w:val="left"/>
            <w:rPr>
              <w:b w:val="1"/>
              <w:color w:val="000000"/>
              <w:u w:val="none"/>
            </w:rPr>
          </w:pPr>
          <w:hyperlink w:anchor="_ablxdd8hp5vm">
            <w:r w:rsidDel="00000000" w:rsidR="00000000" w:rsidRPr="00000000">
              <w:rPr>
                <w:b w:val="1"/>
                <w:color w:val="000000"/>
                <w:u w:val="none"/>
                <w:rtl w:val="0"/>
              </w:rPr>
              <w:t xml:space="preserve">3. Accediendo a la interfaz gráfica</w:t>
              <w:tab/>
              <w:t xml:space="preserve">3</w:t>
            </w:r>
          </w:hyperlink>
          <w:r w:rsidDel="00000000" w:rsidR="00000000" w:rsidRPr="00000000">
            <w:rPr>
              <w:rtl w:val="0"/>
            </w:rPr>
          </w:r>
        </w:p>
        <w:p w:rsidR="00000000" w:rsidDel="00000000" w:rsidP="00000000" w:rsidRDefault="00000000" w:rsidRPr="00000000" w14:paraId="00000018">
          <w:pPr>
            <w:tabs>
              <w:tab w:val="right" w:leader="none" w:pos="12000"/>
            </w:tabs>
            <w:spacing w:after="0" w:before="60" w:lineRule="auto"/>
            <w:jc w:val="left"/>
            <w:rPr>
              <w:b w:val="1"/>
              <w:color w:val="000000"/>
              <w:u w:val="none"/>
            </w:rPr>
          </w:pPr>
          <w:hyperlink w:anchor="_g1qlmy5ta6mu">
            <w:r w:rsidDel="00000000" w:rsidR="00000000" w:rsidRPr="00000000">
              <w:rPr>
                <w:b w:val="1"/>
                <w:color w:val="000000"/>
                <w:u w:val="none"/>
                <w:rtl w:val="0"/>
              </w:rPr>
              <w:t xml:space="preserve">4. Bibliografía</w:t>
              <w:tab/>
              <w:t xml:space="preserve">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1A">
      <w:pPr>
        <w:pageBreakBefore w:val="0"/>
        <w:spacing w:after="0" w:before="0" w:lineRule="auto"/>
        <w:jc w:val="right"/>
        <w:rPr/>
      </w:pPr>
      <w:r w:rsidDel="00000000" w:rsidR="00000000" w:rsidRPr="00000000">
        <w:rPr>
          <w:smallCaps w:val="1"/>
          <w:color w:val="336633"/>
          <w:sz w:val="32"/>
          <w:szCs w:val="32"/>
          <w:rtl w:val="0"/>
        </w:rPr>
        <w:t xml:space="preserve">UD03. Caso práctico 03</w:t>
      </w:r>
      <w:r w:rsidDel="00000000" w:rsidR="00000000" w:rsidRPr="00000000">
        <w:rPr>
          <w:rtl w:val="0"/>
        </w:rPr>
      </w:r>
    </w:p>
    <w:p w:rsidR="00000000" w:rsidDel="00000000" w:rsidP="00000000" w:rsidRDefault="00000000" w:rsidRPr="00000000" w14:paraId="0000001B">
      <w:pPr>
        <w:pStyle w:val="Heading1"/>
        <w:pageBreakBefore w:val="0"/>
        <w:numPr>
          <w:ilvl w:val="0"/>
          <w:numId w:val="1"/>
        </w:numPr>
        <w:ind w:left="432"/>
      </w:pPr>
      <w:bookmarkStart w:colFirst="0" w:colLast="0" w:name="_dbh0n1vac4c8" w:id="1"/>
      <w:bookmarkEnd w:id="1"/>
      <w:r w:rsidDel="00000000" w:rsidR="00000000" w:rsidRPr="00000000">
        <w:rPr>
          <w:rtl w:val="0"/>
        </w:rPr>
        <w:t xml:space="preserve">Introducción</w:t>
      </w:r>
    </w:p>
    <w:p w:rsidR="00000000" w:rsidDel="00000000" w:rsidP="00000000" w:rsidRDefault="00000000" w:rsidRPr="00000000" w14:paraId="0000001C">
      <w:pPr>
        <w:pageBreakBefore w:val="0"/>
        <w:rPr/>
      </w:pPr>
      <w:r w:rsidDel="00000000" w:rsidR="00000000" w:rsidRPr="00000000">
        <w:rPr>
          <w:rtl w:val="0"/>
        </w:rPr>
        <w:t xml:space="preserve">Durante el curso hemos comentado que no era sencillo utilizar aplicaciones gráficas usando Docker. En este ejemplo pondremos en marcha un servicio VNC (servicio de administración remota) junto con un cliente NoVNC (Cliente para VNC en HTML5 y JavaScript) servido vía web.</w:t>
      </w:r>
    </w:p>
    <w:p w:rsidR="00000000" w:rsidDel="00000000" w:rsidP="00000000" w:rsidRDefault="00000000" w:rsidRPr="00000000" w14:paraId="0000001D">
      <w:pPr>
        <w:pageBreakBefore w:val="0"/>
        <w:rPr/>
      </w:pPr>
      <w:r w:rsidDel="00000000" w:rsidR="00000000" w:rsidRPr="00000000">
        <w:rPr>
          <w:rtl w:val="0"/>
        </w:rPr>
        <w:t xml:space="preserve">Más información sobre VNC y NoVNC en </w:t>
      </w:r>
      <w:hyperlink r:id="rId9">
        <w:r w:rsidDel="00000000" w:rsidR="00000000" w:rsidRPr="00000000">
          <w:rPr>
            <w:color w:val="1155cc"/>
            <w:u w:val="single"/>
            <w:rtl w:val="0"/>
          </w:rPr>
          <w:t xml:space="preserve">https://es.wikipedia.org/wiki/VNC</w:t>
        </w:r>
      </w:hyperlink>
      <w:r w:rsidDel="00000000" w:rsidR="00000000" w:rsidRPr="00000000">
        <w:rPr>
          <w:rtl w:val="0"/>
        </w:rPr>
        <w:t xml:space="preserve"> y en </w:t>
      </w:r>
      <w:hyperlink r:id="rId10">
        <w:r w:rsidDel="00000000" w:rsidR="00000000" w:rsidRPr="00000000">
          <w:rPr>
            <w:color w:val="1155cc"/>
            <w:u w:val="single"/>
            <w:rtl w:val="0"/>
          </w:rPr>
          <w:t xml:space="preserve">https://novnc.com/</w:t>
        </w:r>
      </w:hyperlink>
      <w:r w:rsidDel="00000000" w:rsidR="00000000" w:rsidRPr="00000000">
        <w:rPr>
          <w:rtl w:val="0"/>
        </w:rPr>
        <w:t xml:space="preserve">.</w:t>
      </w:r>
    </w:p>
    <w:p w:rsidR="00000000" w:rsidDel="00000000" w:rsidP="00000000" w:rsidRDefault="00000000" w:rsidRPr="00000000" w14:paraId="0000001E">
      <w:pPr>
        <w:pStyle w:val="Heading1"/>
        <w:pageBreakBefore w:val="0"/>
        <w:numPr>
          <w:ilvl w:val="0"/>
          <w:numId w:val="1"/>
        </w:numPr>
        <w:ind w:left="432"/>
        <w:jc w:val="both"/>
        <w:rPr/>
      </w:pPr>
      <w:bookmarkStart w:colFirst="0" w:colLast="0" w:name="_vyhbfp4t666x" w:id="2"/>
      <w:bookmarkEnd w:id="2"/>
      <w:r w:rsidDel="00000000" w:rsidR="00000000" w:rsidRPr="00000000">
        <w:rPr>
          <w:rtl w:val="0"/>
        </w:rPr>
        <w:t xml:space="preserve">Preparando el contenedor</w:t>
      </w:r>
    </w:p>
    <w:p w:rsidR="00000000" w:rsidDel="00000000" w:rsidP="00000000" w:rsidRDefault="00000000" w:rsidRPr="00000000" w14:paraId="0000001F">
      <w:pPr>
        <w:pageBreakBefore w:val="0"/>
        <w:rPr/>
      </w:pPr>
      <w:r w:rsidDel="00000000" w:rsidR="00000000" w:rsidRPr="00000000">
        <w:rPr>
          <w:rtl w:val="0"/>
        </w:rPr>
        <w:t xml:space="preserve">Para este caso práctico, simplemente creamos un contenedor a partir de la imagen descrita en </w:t>
      </w:r>
      <w:hyperlink r:id="rId11">
        <w:r w:rsidDel="00000000" w:rsidR="00000000" w:rsidRPr="00000000">
          <w:rPr>
            <w:color w:val="1155cc"/>
            <w:u w:val="single"/>
            <w:rtl w:val="0"/>
          </w:rPr>
          <w:t xml:space="preserve">https://github.com/theasp/docker-novnc</w:t>
        </w:r>
      </w:hyperlink>
      <w:r w:rsidDel="00000000" w:rsidR="00000000" w:rsidRPr="00000000">
        <w:rPr>
          <w:rtl w:val="0"/>
        </w:rPr>
        <w:t xml:space="preserve">, la cual tiene todo listo para funcionar.</w:t>
      </w:r>
    </w:p>
    <w:p w:rsidR="00000000" w:rsidDel="00000000" w:rsidP="00000000" w:rsidRDefault="00000000" w:rsidRPr="00000000" w14:paraId="00000020">
      <w:pPr>
        <w:pageBreakBefore w:val="0"/>
        <w:rPr/>
      </w:pP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La lanzaremos con el siguiente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docker run --rm -it -p 8080:8080 theasp/novnc</w:t>
            </w:r>
            <w:r w:rsidDel="00000000" w:rsidR="00000000" w:rsidRPr="00000000">
              <w:rPr>
                <w:rtl w:val="0"/>
              </w:rPr>
            </w:r>
          </w:p>
        </w:tc>
      </w:tr>
    </w:tbl>
    <w:p w:rsidR="00000000" w:rsidDel="00000000" w:rsidP="00000000" w:rsidRDefault="00000000" w:rsidRPr="00000000" w14:paraId="00000023">
      <w:pPr>
        <w:pageBreakBefore w:val="0"/>
        <w:rPr/>
      </w:pPr>
      <w:r w:rsidDel="00000000" w:rsidR="00000000" w:rsidRPr="00000000">
        <w:rPr>
          <w:rtl w:val="0"/>
        </w:rPr>
      </w:r>
    </w:p>
    <w:p w:rsidR="00000000" w:rsidDel="00000000" w:rsidP="00000000" w:rsidRDefault="00000000" w:rsidRPr="00000000" w14:paraId="0000002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como es una prueba de concepto, hemos creado la imagen con el parámetro </w:t>
      </w:r>
      <w:r w:rsidDel="00000000" w:rsidR="00000000" w:rsidRPr="00000000">
        <w:rPr>
          <w:b w:val="1"/>
          <w:i w:val="1"/>
          <w:rtl w:val="0"/>
        </w:rPr>
        <w:t xml:space="preserve">“--rm”</w:t>
      </w:r>
      <w:r w:rsidDel="00000000" w:rsidR="00000000" w:rsidRPr="00000000">
        <w:rPr>
          <w:rtl w:val="0"/>
        </w:rPr>
        <w:t xml:space="preserve">, por lo cual al cerrar la terminal el contenedor se borrará.</w:t>
      </w:r>
      <w:r w:rsidDel="00000000" w:rsidR="00000000" w:rsidRPr="00000000">
        <w:rPr>
          <w:rtl w:val="0"/>
        </w:rPr>
      </w:r>
    </w:p>
    <w:p w:rsidR="00000000" w:rsidDel="00000000" w:rsidP="00000000" w:rsidRDefault="00000000" w:rsidRPr="00000000" w14:paraId="00000025">
      <w:pPr>
        <w:pStyle w:val="Heading1"/>
        <w:pageBreakBefore w:val="0"/>
        <w:numPr>
          <w:ilvl w:val="0"/>
          <w:numId w:val="1"/>
        </w:numPr>
        <w:ind w:left="432"/>
        <w:rPr/>
      </w:pPr>
      <w:bookmarkStart w:colFirst="0" w:colLast="0" w:name="_ablxdd8hp5vm" w:id="3"/>
      <w:bookmarkEnd w:id="3"/>
      <w:r w:rsidDel="00000000" w:rsidR="00000000" w:rsidRPr="00000000">
        <w:rPr>
          <w:rtl w:val="0"/>
        </w:rPr>
        <w:t xml:space="preserve">Accediendo a la interfaz gráfica</w:t>
      </w:r>
    </w:p>
    <w:p w:rsidR="00000000" w:rsidDel="00000000" w:rsidP="00000000" w:rsidRDefault="00000000" w:rsidRPr="00000000" w14:paraId="00000026">
      <w:pPr>
        <w:pageBreakBefore w:val="0"/>
        <w:rPr/>
      </w:pPr>
      <w:r w:rsidDel="00000000" w:rsidR="00000000" w:rsidRPr="00000000">
        <w:rPr>
          <w:rtl w:val="0"/>
        </w:rPr>
        <w:t xml:space="preserve">Abriendo un navegador a la siguiente URL </w:t>
      </w:r>
      <w:hyperlink r:id="rId12">
        <w:r w:rsidDel="00000000" w:rsidR="00000000" w:rsidRPr="00000000">
          <w:rPr>
            <w:color w:val="1155cc"/>
            <w:u w:val="single"/>
            <w:rtl w:val="0"/>
          </w:rPr>
          <w:t xml:space="preserve">http://localhost:8080/vnc.html</w:t>
        </w:r>
      </w:hyperlink>
      <w:r w:rsidDel="00000000" w:rsidR="00000000" w:rsidRPr="00000000">
        <w:rPr>
          <w:rtl w:val="0"/>
        </w:rPr>
        <w:t xml:space="preserve"> se nos cargará un cliente NoVNC (Cliente VNC en HTML5 y Javascript). Simplemente, conectaremos con dicho cliente y en nuestro navegador veremos una interfaz gráfica dentro de nuestro contenedor.</w:t>
      </w:r>
    </w:p>
    <w:p w:rsidR="00000000" w:rsidDel="00000000" w:rsidP="00000000" w:rsidRDefault="00000000" w:rsidRPr="00000000" w14:paraId="00000027">
      <w:pPr>
        <w:pageBreakBefore w:val="0"/>
        <w:rPr/>
      </w:pPr>
      <w:r w:rsidDel="00000000" w:rsidR="00000000" w:rsidRPr="00000000">
        <w:rPr>
          <w:rtl w:val="0"/>
        </w:rPr>
        <w:t xml:space="preserve">El acceso será de una forma similar a la siguiente:</w:t>
      </w:r>
    </w:p>
    <w:p w:rsidR="00000000" w:rsidDel="00000000" w:rsidP="00000000" w:rsidRDefault="00000000" w:rsidRPr="00000000" w14:paraId="00000028">
      <w:pPr>
        <w:pageBreakBefore w:val="0"/>
        <w:jc w:val="center"/>
        <w:rPr/>
      </w:pPr>
      <w:r w:rsidDel="00000000" w:rsidR="00000000" w:rsidRPr="00000000">
        <w:rPr/>
        <w:drawing>
          <wp:inline distB="114300" distT="114300" distL="114300" distR="114300">
            <wp:extent cx="4540088" cy="2459933"/>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40088" cy="245993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pageBreakBefore w:val="0"/>
        <w:numPr>
          <w:ilvl w:val="0"/>
          <w:numId w:val="1"/>
        </w:numPr>
        <w:ind w:left="576"/>
        <w:jc w:val="both"/>
        <w:rPr>
          <w:smallCaps w:val="1"/>
          <w:color w:val="669966"/>
          <w:sz w:val="28"/>
          <w:szCs w:val="28"/>
        </w:rPr>
      </w:pPr>
      <w:bookmarkStart w:colFirst="0" w:colLast="0" w:name="_g1qlmy5ta6mu" w:id="4"/>
      <w:bookmarkEnd w:id="4"/>
      <w:r w:rsidDel="00000000" w:rsidR="00000000" w:rsidRPr="00000000">
        <w:rPr>
          <w:rtl w:val="0"/>
        </w:rPr>
        <w:t xml:space="preserve">Bibliografía</w:t>
      </w:r>
    </w:p>
    <w:p w:rsidR="00000000" w:rsidDel="00000000" w:rsidP="00000000" w:rsidRDefault="00000000" w:rsidRPr="00000000" w14:paraId="0000002A">
      <w:pPr>
        <w:pageBreakBefore w:val="0"/>
        <w:ind w:firstLine="113"/>
        <w:rPr/>
      </w:pPr>
      <w:r w:rsidDel="00000000" w:rsidR="00000000" w:rsidRPr="00000000">
        <w:rPr>
          <w:rtl w:val="0"/>
        </w:rPr>
        <w:t xml:space="preserve">[1] Docker Docs </w:t>
      </w:r>
      <w:hyperlink r:id="rId14">
        <w:r w:rsidDel="00000000" w:rsidR="00000000" w:rsidRPr="00000000">
          <w:rPr>
            <w:color w:val="1155cc"/>
            <w:u w:val="single"/>
            <w:rtl w:val="0"/>
          </w:rPr>
          <w:t xml:space="preserve">https://docs.docker.com/</w:t>
        </w:r>
      </w:hyperlink>
      <w:r w:rsidDel="00000000" w:rsidR="00000000" w:rsidRPr="00000000">
        <w:rPr>
          <w:rtl w:val="0"/>
        </w:rPr>
      </w:r>
    </w:p>
    <w:p w:rsidR="00000000" w:rsidDel="00000000" w:rsidP="00000000" w:rsidRDefault="00000000" w:rsidRPr="00000000" w14:paraId="0000002B">
      <w:pPr>
        <w:pageBreakBefore w:val="0"/>
        <w:ind w:firstLine="113"/>
        <w:rPr/>
      </w:pPr>
      <w:r w:rsidDel="00000000" w:rsidR="00000000" w:rsidRPr="00000000">
        <w:rPr>
          <w:rtl w:val="0"/>
        </w:rPr>
        <w:t xml:space="preserve">[2] Imagen Docker con VNC y NoVNC </w:t>
      </w:r>
      <w:hyperlink r:id="rId15">
        <w:r w:rsidDel="00000000" w:rsidR="00000000" w:rsidRPr="00000000">
          <w:rPr>
            <w:color w:val="1155cc"/>
            <w:u w:val="single"/>
            <w:rtl w:val="0"/>
          </w:rPr>
          <w:t xml:space="preserve">https://github.com/theasp/docker-novnc</w:t>
        </w:r>
      </w:hyperlink>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1">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w:t>
      <w:tab/>
      <w:tab/>
      <w:t xml:space="preserve">UD03 -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2D">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2E">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Curso Introducción a Docker </w:t>
      <w:tab/>
      <w:tab/>
      <w:t xml:space="preserve">UD03. Caso práctico 03</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theasp/docker-novnc" TargetMode="External"/><Relationship Id="rId10" Type="http://schemas.openxmlformats.org/officeDocument/2006/relationships/hyperlink" Target="https://novnc.com/" TargetMode="External"/><Relationship Id="rId13" Type="http://schemas.openxmlformats.org/officeDocument/2006/relationships/image" Target="media/image4.png"/><Relationship Id="rId12" Type="http://schemas.openxmlformats.org/officeDocument/2006/relationships/hyperlink" Target="http://localhost:8080/vnc.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VNC" TargetMode="External"/><Relationship Id="rId15" Type="http://schemas.openxmlformats.org/officeDocument/2006/relationships/hyperlink" Target="https://github.com/theasp/docker-novnc" TargetMode="External"/><Relationship Id="rId14" Type="http://schemas.openxmlformats.org/officeDocument/2006/relationships/hyperlink" Target="https://docs.docker.com/"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5.png"/><Relationship Id="rId18" Type="http://schemas.openxmlformats.org/officeDocument/2006/relationships/footer" Target="footer2.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