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Entrega “C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aso práctico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 Entrega “</w:t>
          </w:r>
          <w:hyperlink w:anchor="_pl6aj0jxol2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Caso práctico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_pl6aj0jxol2r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4. Entrega “</w:t>
          </w:r>
          <w:hyperlink w:anchor="_cx3u8gtl8wiv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Caso práctico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”</w:t>
            <w:tab/>
          </w:r>
          <w:r w:rsidDel="00000000" w:rsidR="00000000" w:rsidRPr="00000000">
            <w:fldChar w:fldCharType="begin"/>
            <w:instrText xml:space="preserve"> PAGEREF _cx3u8gtl8wiv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3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2 de los 3 casos prácticos!</w:t>
      </w:r>
      <w:r w:rsidDel="00000000" w:rsidR="00000000" w:rsidRPr="00000000">
        <w:rPr>
          <w:rtl w:val="0"/>
        </w:rPr>
        <w:t xml:space="preserve"> :)</w:t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observe que estás dentro del contenedor y se han creado 10 carpetas en “/root”. Tras ello, adjunta una captura donde se observe que se ha ejecutado el script propuesto para la corrección automática.</w:t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l6aj0jxol2r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Captura final del navegador donde se observe que Wordpress está funcionando.</w:t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x3u8gtl8wiv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Captura final del navegador accediendo a la interfaz gráfica mediante el cliente NoVNC.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UD03.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