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hbfp4t666x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Entrega</w:t>
              <w:tab/>
            </w:r>
          </w:hyperlink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En esta unidad debes realizar uno de los casos prácticos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 adjuntar capturas que prueben la realización de uno de los casos prácticos. Opcionalmente, puedes subir a Docker Hub la imagen generada.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Deberás entregar en la tarea un documento que incluya capturas probando que se ha realizado el caso práctico, y si además </w:t>
      </w:r>
      <w:r w:rsidDel="00000000" w:rsidR="00000000" w:rsidRPr="00000000">
        <w:rPr>
          <w:b w:val="1"/>
          <w:rtl w:val="0"/>
        </w:rPr>
        <w:t xml:space="preserve">(opcional)</w:t>
      </w:r>
      <w:r w:rsidDel="00000000" w:rsidR="00000000" w:rsidRPr="00000000">
        <w:rPr>
          <w:rtl w:val="0"/>
        </w:rPr>
        <w:t xml:space="preserve"> has subido la imagen a Docker Hub, un texto donde se indique la URL de tu repositorio público creado y tras ello, capturas demostrando la realización del otro caso práctico seleccionado.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