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Actividades entregables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1”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ow4x0s724zlg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2”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_ow4x0s724zlg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zer127gbm0z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3”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_zer127gbm0zw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u1cclnolsc4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4”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_u1cclnolsc4o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2 de los 4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¡Solo 2 de los 4 casos prácticos!</w:t>
      </w:r>
      <w:r w:rsidDel="00000000" w:rsidR="00000000" w:rsidRPr="00000000">
        <w:rPr>
          <w:rtl w:val="0"/>
        </w:rPr>
        <w:t xml:space="preserve">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“</w:t>
      </w:r>
      <w:r w:rsidDel="00000000" w:rsidR="00000000" w:rsidRPr="00000000">
        <w:rPr>
          <w:b w:val="1"/>
          <w:i w:val="1"/>
          <w:rtl w:val="0"/>
        </w:rPr>
        <w:t xml:space="preserve">Visual Studio Code</w:t>
      </w:r>
      <w:r w:rsidDel="00000000" w:rsidR="00000000" w:rsidRPr="00000000">
        <w:rPr>
          <w:rtl w:val="0"/>
        </w:rPr>
        <w:t xml:space="preserve">” está conectado a un contenedor.</w:t>
      </w:r>
    </w:p>
    <w:p w:rsidR="00000000" w:rsidDel="00000000" w:rsidP="00000000" w:rsidRDefault="00000000" w:rsidRPr="00000000" w14:paraId="00000036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ow4x0s724zlg" w:id="3"/>
      <w:bookmarkEnd w:id="3"/>
      <w:r w:rsidDel="00000000" w:rsidR="00000000" w:rsidRPr="00000000">
        <w:rPr>
          <w:rtl w:val="0"/>
        </w:rPr>
        <w:t xml:space="preserve">Entrega “Caso práctico 2”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Adjunta una captura que se vea “</w:t>
      </w:r>
      <w:r w:rsidDel="00000000" w:rsidR="00000000" w:rsidRPr="00000000">
        <w:rPr>
          <w:b w:val="1"/>
          <w:i w:val="1"/>
          <w:rtl w:val="0"/>
        </w:rPr>
        <w:t xml:space="preserve">Portainer CE</w:t>
      </w:r>
      <w:r w:rsidDel="00000000" w:rsidR="00000000" w:rsidRPr="00000000">
        <w:rPr>
          <w:rtl w:val="0"/>
        </w:rPr>
        <w:t xml:space="preserve">” funcionando.</w:t>
      </w:r>
    </w:p>
    <w:p w:rsidR="00000000" w:rsidDel="00000000" w:rsidP="00000000" w:rsidRDefault="00000000" w:rsidRPr="00000000" w14:paraId="00000038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er127gbm0zw" w:id="4"/>
      <w:bookmarkEnd w:id="4"/>
      <w:r w:rsidDel="00000000" w:rsidR="00000000" w:rsidRPr="00000000">
        <w:rPr>
          <w:rtl w:val="0"/>
        </w:rPr>
        <w:t xml:space="preserve">Entrega “Caso práctico 3”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LazyDocker</w:t>
      </w:r>
      <w:r w:rsidDel="00000000" w:rsidR="00000000" w:rsidRPr="00000000">
        <w:rPr>
          <w:rtl w:val="0"/>
        </w:rPr>
        <w:t xml:space="preserve">” funcionando.</w:t>
      </w:r>
    </w:p>
    <w:p w:rsidR="00000000" w:rsidDel="00000000" w:rsidP="00000000" w:rsidRDefault="00000000" w:rsidRPr="00000000" w14:paraId="0000003A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1cclnolsc4o" w:id="5"/>
      <w:bookmarkEnd w:id="5"/>
      <w:r w:rsidDel="00000000" w:rsidR="00000000" w:rsidRPr="00000000">
        <w:rPr>
          <w:rtl w:val="0"/>
        </w:rPr>
        <w:t xml:space="preserve">Entrega “Caso práctico 4”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Adjunta una captura donde se muestre que con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Glandes</w:t>
      </w:r>
      <w:r w:rsidDel="00000000" w:rsidR="00000000" w:rsidRPr="00000000">
        <w:rPr>
          <w:rtl w:val="0"/>
        </w:rPr>
        <w:t xml:space="preserve">” funcionando.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