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0.0" w:type="dxa"/>
        <w:tblLayout w:type="fixed"/>
        <w:tblLook w:val="0000"/>
      </w:tblPr>
      <w:tblGrid>
        <w:gridCol w:w="10682"/>
        <w:tblGridChange w:id="0">
          <w:tblGrid>
            <w:gridCol w:w="10682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INTRODUCCIÓN A LEARNING ANALYTICS CON EJEMPLOS PRÁCTICOS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06755" cy="715645"/>
                  <wp:effectExtent b="0" l="0" r="0" t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715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GUÍA DIDÁCTICA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1587</wp:posOffset>
                  </wp:positionH>
                  <wp:positionV relativeFrom="paragraph">
                    <wp:posOffset>0</wp:posOffset>
                  </wp:positionV>
                  <wp:extent cx="6642735" cy="2928620"/>
                  <wp:effectExtent b="0" l="0" r="0" t="0"/>
                  <wp:wrapSquare wrapText="bothSides" distB="0" distT="0" distL="0" distR="0"/>
                  <wp:docPr id="10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-62" l="-35" r="-35" t="-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735" cy="2928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Autor: Sergio García Barea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1"/>
        <w:rPr>
          <w:color w:val="24406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Objetivos del curso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Materiales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Contenidos y temporalización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Criterios de certificación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Metodología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Comunicación con el tutor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1"/>
        <w:rPr>
          <w:rFonts w:ascii="Times New Roman" w:cs="Times New Roman" w:eastAsia="Times New Roman" w:hAnsi="Times New Roman"/>
          <w:color w:val="244061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Bienvenido/a al curso “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vertAlign w:val="baseline"/>
          <w:rtl w:val="0"/>
        </w:rPr>
        <w:t xml:space="preserve"> a Learning Analytics con ejemplos prácticos”. En este curso intentaremos introducir la cultura del “Learning Analytic” presentando ejemplos prácticos.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El calendario oficial indica que este curso </w:t>
      </w: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b w:val="1"/>
          <w:vertAlign w:val="baseline"/>
          <w:rtl w:val="0"/>
        </w:rPr>
        <w:t xml:space="preserve">/09/202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y finalizada el </w:t>
      </w:r>
      <w:r w:rsidDel="00000000" w:rsidR="00000000" w:rsidRPr="00000000">
        <w:rPr>
          <w:rtl w:val="0"/>
        </w:rPr>
        <w:t xml:space="preserve">domingo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b w:val="1"/>
          <w:vertAlign w:val="baseline"/>
          <w:rtl w:val="0"/>
        </w:rPr>
        <w:t xml:space="preserve">/11/202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 ambos inclusive.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Objetivos del curso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objetivos que deseamos que el alumno cumpla al seguir este curso son: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Comprender que es Learning Analytics.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Conocer campos relacionados.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Conocer conceptos sobre privacidad de datos aplicados al análisis.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Conocer ciclo del diseño de una acción de Learning Analytics.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 capaz de identificar fuentes de datos y recopilar información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 capaz de utilizar herramientas para visualización de datos.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 capaz de analizar datos para extraer conclusiones.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 capaz de generar actuaciones manuales y automáticas ante situaciones detectadas.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Ser capaz de evaluar una propuesta de Learning Analytics.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Materiales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sz w:val="20"/>
          <w:szCs w:val="20"/>
          <w:vertAlign w:val="baseline"/>
          <w:rtl w:val="0"/>
        </w:rPr>
        <w:t xml:space="preserve">No se requiere ningún material especial</w:t>
      </w:r>
      <w:r w:rsidDel="00000000" w:rsidR="00000000" w:rsidRPr="00000000">
        <w:rPr>
          <w:vertAlign w:val="baseline"/>
          <w:rtl w:val="0"/>
        </w:rPr>
        <w:t xml:space="preserve">. Todo el software utilizado durante el curso será gratuito o tendrá versión de prueba.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Contenidos y temporalización</w:t>
      </w:r>
    </w:p>
    <w:tbl>
      <w:tblPr>
        <w:tblStyle w:val="Table2"/>
        <w:tblW w:w="10356.0" w:type="dxa"/>
        <w:jc w:val="left"/>
        <w:tblInd w:w="0.0" w:type="dxa"/>
        <w:tblLayout w:type="fixed"/>
        <w:tblLook w:val="0000"/>
      </w:tblPr>
      <w:tblGrid>
        <w:gridCol w:w="6107"/>
        <w:gridCol w:w="4249"/>
        <w:tblGridChange w:id="0">
          <w:tblGrid>
            <w:gridCol w:w="6107"/>
            <w:gridCol w:w="4249"/>
          </w:tblGrid>
        </w:tblGridChange>
      </w:tblGrid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Unidades didácticas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Fechas sugeridas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after="12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1 : Introducción a Learning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after="12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5</w:t>
            </w:r>
            <w:r w:rsidDel="00000000" w:rsidR="00000000" w:rsidRPr="00000000">
              <w:rPr>
                <w:vertAlign w:val="baseline"/>
                <w:rtl w:val="0"/>
              </w:rPr>
              <w:t xml:space="preserve"> al 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 de septiembre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after="12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2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 calificaciones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 de septiembre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3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vertAlign w:val="baseline"/>
                <w:rtl w:val="0"/>
              </w:rPr>
              <w:t xml:space="preserve"> al 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 septiembre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4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 mapas y resúmenes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de septiembre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5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 cuestionarios (Parte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 cuestionarios (Parte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octubre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 aplicado al trabajo en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 de octubre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Unidad didáctica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 : Otras aplicaciones de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Learning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 de octubre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Entrega de actividades faltantes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12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Semana del 3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de octubre </w:t>
            </w:r>
            <w:r w:rsidDel="00000000" w:rsidR="00000000" w:rsidRPr="00000000">
              <w:rPr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noviembre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Criterios de certificación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superar el presente curso, hay que entregar las tareas asociadas a cada unidad. 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cada tarea se especificará claramente el plazo de entrega. No obstante, por regla general,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este será aproximadamente hasta dos unidades después de la unidad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 recomendable que el alumno entregue la tarea de una unidad antes de comenzar la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 profesor se compromete a ofrecerle feedback a la entrega tan pronto como sea posible y si procede, podrá indicar un nuevo plazo al alumno para que subsane deficiencias en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 en algún momento, algún alumno no puede realizar alguna tarea en plazo, podrá continuar el curso sin problema y deberá recuperar dicha tarea en un plazo de recuperación que se abrirá en las fechas finales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0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En el caso de problemas de fuerza mayor, especialmente en el seguimiento de los plazos, el alumno deberá ponerse en contacto con el tutor y se estudiará individualmente el caso para ofrecerle una solución.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Usaremos la plataforma Moodle como medida de comunicación. Ahí se publicaran los apuntes y se entregaran las tareas </w:t>
      </w:r>
      <w:r w:rsidDel="00000000" w:rsidR="00000000" w:rsidRPr="00000000">
        <w:rPr>
          <w:rtl w:val="0"/>
        </w:rPr>
        <w:t xml:space="preserve">divididas</w:t>
      </w:r>
      <w:r w:rsidDel="00000000" w:rsidR="00000000" w:rsidRPr="00000000">
        <w:rPr>
          <w:vertAlign w:val="baseline"/>
          <w:rtl w:val="0"/>
        </w:rPr>
        <w:t xml:space="preserve"> en unidades didácticas. Cada unidad didáctica además contará con un foro propio.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Para comunicarnos entre alumnos y profesores utilizaremos Moodle. Para cuestiones muy particulares o personales, usaremos la mensajería interna. Pero en general, para dudas técnicas, problemas, </w:t>
      </w: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vertAlign w:val="baseline"/>
          <w:rtl w:val="0"/>
        </w:rPr>
        <w:t xml:space="preserve"> utilizaremos los foros para que cualquiera pueda disponer de esa información.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4061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el tutor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comunicación se realizará mediante la plataforma Moodle, ya sea mediante mensajería interna para cuestiones personales y los foros para consultas técnicas, problemas, aportaciones, </w:t>
      </w: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Como último </w:t>
      </w:r>
      <w:r w:rsidDel="00000000" w:rsidR="00000000" w:rsidRPr="00000000">
        <w:rPr>
          <w:rtl w:val="0"/>
        </w:rPr>
        <w:t xml:space="preserve">recurso,</w:t>
      </w:r>
      <w:r w:rsidDel="00000000" w:rsidR="00000000" w:rsidRPr="00000000">
        <w:rPr>
          <w:vertAlign w:val="baseline"/>
          <w:rtl w:val="0"/>
        </w:rPr>
        <w:t xml:space="preserve"> si hubiera cualquier percance en las comunicaciones, se utilizará el correo electrónico, siendo mi correo de contacto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sergi.profesor@gmail.com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120" w:before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426" w:top="720" w:left="720" w:right="720" w:header="284" w:footer="18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kinsoku w:val="1"/>
      <w:overflowPunct w:val="1"/>
      <w:autoSpaceDE w:val="1"/>
      <w:bidi w:val="0"/>
      <w:spacing w:after="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mbria" w:cs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alibri" w:cs="Times New Roman" w:eastAsia="Times New Roman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alibri" w:cs="Calibri" w:eastAsia="Times New Roman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WW-DefaultParagraphFont"/>
    <w:next w:val="Heading1Ch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BalloonTextChar">
    <w:name w:val="Balloon Text Char"/>
    <w:basedOn w:val="WW-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nlacedeInternet">
    <w:name w:val="Enlace de Internet"/>
    <w:basedOn w:val="WW-DefaultParagraphFon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oSpacingChar">
    <w:name w:val="No Spacing Char"/>
    <w:basedOn w:val="WW-DefaultParagraphFont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val="es-ES"/>
    </w:rPr>
  </w:style>
  <w:style w:type="character" w:styleId="HeaderChar">
    <w:name w:val="Header Char"/>
    <w:basedOn w:val="WW-DefaultParagraphFont"/>
    <w:next w:val="HeaderCha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ooterChar">
    <w:name w:val="Footer Char"/>
    <w:basedOn w:val="WW-DefaultParagraphFont"/>
    <w:next w:val="FooterCha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gp">
    <w:name w:val="gp"/>
    <w:basedOn w:val="DefaultParagraphFont"/>
    <w:next w:val="g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">
    <w:name w:val="p"/>
    <w:basedOn w:val="DefaultParagraphFont"/>
    <w:next w:val="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b">
    <w:name w:val="nb"/>
    <w:basedOn w:val="DefaultParagraphFont"/>
    <w:next w:val="n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2">
    <w:name w:val="s2"/>
    <w:basedOn w:val="DefaultParagraphFont"/>
    <w:next w:val="s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o">
    <w:name w:val="o"/>
    <w:basedOn w:val="DefaultParagraphFont"/>
    <w:next w:val="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EnlacedeInternetvisitado">
    <w:name w:val="Enlace de Internet visitado"/>
    <w:basedOn w:val="DefaultParagraphFont"/>
    <w:next w:val="EnlacedeInternet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Destacado">
    <w:name w:val="Destacado"/>
    <w:basedOn w:val="DefaultParagraphFont"/>
    <w:next w:val="Destacado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Enlacedelíndice">
    <w:name w:val="Enlace del índice"/>
    <w:next w:val="Enlacedelíndi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Lucida Sans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Encabezado1">
    <w:name w:val="Encabezado1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20" w:before="0"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it_n1">
    <w:name w:val="Tit_n1"/>
    <w:basedOn w:val="Normal"/>
    <w:next w:val="Tit_n1"/>
    <w:autoRedefine w:val="0"/>
    <w:hidden w:val="0"/>
    <w:qFormat w:val="0"/>
    <w:pPr>
      <w:widowControl w:val="1"/>
      <w:numPr>
        <w:ilvl w:val="0"/>
        <w:numId w:val="2"/>
      </w:numPr>
      <w:suppressAutoHyphens w:val="0"/>
      <w:kinsoku w:val="1"/>
      <w:overflowPunct w:val="1"/>
      <w:autoSpaceDE w:val="1"/>
      <w:bidi w:val="0"/>
      <w:spacing w:after="120" w:before="0" w:line="1" w:lineRule="atLeast"/>
      <w:ind w:left="357" w:right="0" w:leftChars="-1" w:rightChars="0" w:hanging="357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b w:val="1"/>
      <w:color w:val="24406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it_ppal">
    <w:name w:val="tit_ppal"/>
    <w:basedOn w:val="Normal"/>
    <w:next w:val="tit_ppal"/>
    <w:autoRedefine w:val="0"/>
    <w:hidden w:val="0"/>
    <w:qFormat w:val="0"/>
    <w:pPr>
      <w:widowControl w:val="1"/>
      <w:pBdr>
        <w:top w:color="000000" w:space="0" w:sz="0" w:val="none"/>
        <w:left w:color="000000" w:space="0" w:sz="0" w:val="none"/>
        <w:bottom w:color="808080" w:space="1" w:sz="4" w:val="single"/>
        <w:right w:color="000000" w:space="0" w:sz="0" w:val="none"/>
      </w:pBdr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color w:val="244061"/>
      <w:w w:val="100"/>
      <w:position w:val="-1"/>
      <w:sz w:val="36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80" w:before="2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TOCHeading">
    <w:name w:val="TOC Heading"/>
    <w:basedOn w:val="Título1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0" w:before="480" w:line="1" w:lineRule="atLeast"/>
      <w:ind w:left="0" w:right="0" w:leftChars="-1" w:rightChars="0" w:firstLine="0" w:firstLineChars="-1"/>
      <w:jc w:val="left"/>
      <w:textDirection w:val="btLr"/>
      <w:textAlignment w:val="top"/>
      <w:outlineLvl w:val="9"/>
    </w:pPr>
    <w:rPr>
      <w:rFonts w:ascii="Cambria" w:cs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Sumario1">
    <w:name w:val="Sumario 1"/>
    <w:basedOn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0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NoSpacing">
    <w:name w:val="No Spacing"/>
    <w:next w:val="NoSpacing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kinsoku w:val="1"/>
      <w:overflowPunct w:val="1"/>
      <w:autoSpaceDE w:val="1"/>
      <w:bidi w:val="0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kinsoku w:val="1"/>
      <w:overflowPunct w:val="1"/>
      <w:autoSpaceDE w:val="1"/>
      <w:bidi w:val="0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Times New Roman" w:hAnsi="Calibri"/>
      <w:b w:val="1"/>
      <w:bCs w:val="1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2">
    <w:name w:val="Sumario 2"/>
    <w:basedOn w:val="Índice"/>
    <w:next w:val="Sumario2"/>
    <w:autoRedefine w:val="0"/>
    <w:hidden w:val="0"/>
    <w:qFormat w:val="0"/>
    <w:pPr>
      <w:widowControl w:val="1"/>
      <w:suppressLineNumbers w:val="1"/>
      <w:tabs>
        <w:tab w:val="right" w:leader="dot" w:pos="9355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283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3">
    <w:name w:val="Sumario 3"/>
    <w:basedOn w:val="Índice"/>
    <w:next w:val="Sumario3"/>
    <w:autoRedefine w:val="0"/>
    <w:hidden w:val="0"/>
    <w:qFormat w:val="0"/>
    <w:pPr>
      <w:widowControl w:val="1"/>
      <w:suppressLineNumbers w:val="1"/>
      <w:tabs>
        <w:tab w:val="right" w:leader="dot" w:pos="9072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566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4">
    <w:name w:val="Sumario 4"/>
    <w:basedOn w:val="Índice"/>
    <w:next w:val="Sumario4"/>
    <w:autoRedefine w:val="0"/>
    <w:hidden w:val="0"/>
    <w:qFormat w:val="0"/>
    <w:pPr>
      <w:widowControl w:val="1"/>
      <w:suppressLineNumbers w:val="1"/>
      <w:tabs>
        <w:tab w:val="right" w:leader="dot" w:pos="8789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849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5">
    <w:name w:val="Sumario 5"/>
    <w:basedOn w:val="Índice"/>
    <w:next w:val="Sumario5"/>
    <w:autoRedefine w:val="0"/>
    <w:hidden w:val="0"/>
    <w:qFormat w:val="0"/>
    <w:pPr>
      <w:widowControl w:val="1"/>
      <w:suppressLineNumbers w:val="1"/>
      <w:tabs>
        <w:tab w:val="right" w:leader="dot" w:pos="8506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1132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6">
    <w:name w:val="Sumario 6"/>
    <w:basedOn w:val="Índice"/>
    <w:next w:val="Sumario6"/>
    <w:autoRedefine w:val="0"/>
    <w:hidden w:val="0"/>
    <w:qFormat w:val="0"/>
    <w:pPr>
      <w:widowControl w:val="1"/>
      <w:suppressLineNumbers w:val="1"/>
      <w:tabs>
        <w:tab w:val="right" w:leader="dot" w:pos="8223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1415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7">
    <w:name w:val="Sumario 7"/>
    <w:basedOn w:val="Índice"/>
    <w:next w:val="Sumario7"/>
    <w:autoRedefine w:val="0"/>
    <w:hidden w:val="0"/>
    <w:qFormat w:val="0"/>
    <w:pPr>
      <w:widowControl w:val="1"/>
      <w:suppressLineNumbers w:val="1"/>
      <w:tabs>
        <w:tab w:val="right" w:leader="dot" w:pos="7940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1698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8">
    <w:name w:val="Sumario 8"/>
    <w:basedOn w:val="Índice"/>
    <w:next w:val="Sumario8"/>
    <w:autoRedefine w:val="0"/>
    <w:hidden w:val="0"/>
    <w:qFormat w:val="0"/>
    <w:pPr>
      <w:widowControl w:val="1"/>
      <w:suppressLineNumbers w:val="1"/>
      <w:tabs>
        <w:tab w:val="right" w:leader="dot" w:pos="7657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1981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mario9">
    <w:name w:val="Sumario 9"/>
    <w:basedOn w:val="Índice"/>
    <w:next w:val="Sumario9"/>
    <w:autoRedefine w:val="0"/>
    <w:hidden w:val="0"/>
    <w:qFormat w:val="0"/>
    <w:pPr>
      <w:widowControl w:val="1"/>
      <w:suppressLineNumbers w:val="1"/>
      <w:tabs>
        <w:tab w:val="right" w:leader="dot" w:pos="7374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2264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Índice10">
    <w:name w:val="Índice 10"/>
    <w:basedOn w:val="Índice"/>
    <w:next w:val="Índice10"/>
    <w:autoRedefine w:val="0"/>
    <w:hidden w:val="0"/>
    <w:qFormat w:val="0"/>
    <w:pPr>
      <w:widowControl w:val="1"/>
      <w:suppressLineNumbers w:val="1"/>
      <w:tabs>
        <w:tab w:val="right" w:leader="dot" w:pos="7091"/>
      </w:tabs>
      <w:suppressAutoHyphens w:val="0"/>
      <w:kinsoku w:val="1"/>
      <w:overflowPunct w:val="1"/>
      <w:autoSpaceDE w:val="1"/>
      <w:bidi w:val="0"/>
      <w:spacing w:after="120" w:before="0"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rFonts w:ascii="Calibri" w:cs="FreeSans" w:eastAsia="Times New Roman" w:hAnsi="Calibri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kinsoku w:val="1"/>
      <w:overflowPunct w:val="1"/>
      <w:autoSpaceDE w:val="1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Times New Roman" w:hAnsi="Calibri"/>
      <w:b w:val="1"/>
      <w:bCs w:val="1"/>
      <w:w w:val="100"/>
      <w:position w:val="-1"/>
      <w:sz w:val="20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ergi.profesor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0AgWM+c0Rlawyo1LweHdjev88A==">AMUW2mU/f4g0zkXN8O23MtfeqbA+F1O57/Yu7DK3WYcPwPavgrZrjcNXnz7LVFiNXljSPxLGrPNFUGzvVVcz8Qg3eaDcAmzYdg3FOcGp37iudhEBXrA8h1zKGzIBjtDraeK/Nep59FbHAer64bvyhI+S8T3uwn6HQi4JSe/YW9trr1tpDFolcuo+pjRe29+n2ZvTJ3coycwXZReANac7xWILM9Ub0zd7NwWjMPP7CRZYTiRqvYv26Bo=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2016-01-28T08:52:00Z</dcterms:created>
  <dc:creator>Sergi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