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5">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6">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2">
      <w:pPr>
        <w:pStyle w:val="Heading1"/>
        <w:ind w:left="432" w:right="0" w:firstLine="0"/>
        <w:rPr/>
      </w:pPr>
      <w:r w:rsidDel="00000000" w:rsidR="00000000" w:rsidRPr="00000000">
        <w:rPr>
          <w:rtl w:val="0"/>
        </w:rPr>
      </w:r>
    </w:p>
    <w:p w:rsidR="00000000" w:rsidDel="00000000" w:rsidP="00000000" w:rsidRDefault="00000000" w:rsidRPr="00000000" w14:paraId="0000001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4">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t>
            </w:r>
          </w:hyperlink>
          <w:hyperlink w:anchor="_ge43nvu7ywtj">
            <w:r w:rsidDel="00000000" w:rsidR="00000000" w:rsidRPr="00000000">
              <w:rPr>
                <w:rFonts w:ascii="Verdana" w:cs="Verdana" w:eastAsia="Verdana" w:hAnsi="Verdana"/>
                <w:b w:val="1"/>
                <w:sz w:val="16"/>
                <w:szCs w:val="16"/>
                <w:rtl w:val="0"/>
              </w:rPr>
              <w:t xml:space="preserve">I</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mf1kw6jsf1s">
            <w:r w:rsidDel="00000000" w:rsidR="00000000" w:rsidRPr="00000000">
              <w:rPr>
                <w:rFonts w:ascii="Verdana" w:cs="Verdana" w:eastAsia="Verdana" w:hAnsi="Verdana"/>
                <w:b w:val="1"/>
                <w:sz w:val="16"/>
                <w:szCs w:val="16"/>
                <w:rtl w:val="0"/>
              </w:rPr>
              <w:t xml:space="preserve">Conceptos a repasar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sz w:val="16"/>
              <w:szCs w:val="16"/>
            </w:rPr>
          </w:pPr>
          <w:hyperlink w:anchor="_mf0m22a2ldmw">
            <w:r w:rsidDel="00000000" w:rsidR="00000000" w:rsidRPr="00000000">
              <w:rPr>
                <w:rFonts w:ascii="Verdana" w:cs="Verdana" w:eastAsia="Verdana" w:hAnsi="Verdana"/>
                <w:b w:val="1"/>
                <w:sz w:val="16"/>
                <w:szCs w:val="16"/>
                <w:rtl w:val="0"/>
              </w:rPr>
              <w:t xml:space="preserve">Media aritmética y ponderada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_mf0m22a2ldmw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sz w:val="16"/>
              <w:szCs w:val="16"/>
            </w:rPr>
          </w:pPr>
          <w:hyperlink w:anchor="_s0tu0wq7cl6j">
            <w:r w:rsidDel="00000000" w:rsidR="00000000" w:rsidRPr="00000000">
              <w:rPr>
                <w:rFonts w:ascii="Verdana" w:cs="Verdana" w:eastAsia="Verdana" w:hAnsi="Verdana"/>
                <w:b w:val="1"/>
                <w:sz w:val="16"/>
                <w:szCs w:val="16"/>
                <w:rtl w:val="0"/>
              </w:rPr>
              <w:t xml:space="preserve">Mediana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_s0tu0wq7cl6j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hyperlink w:anchor="_2gbttc3fewq1">
            <w:r w:rsidDel="00000000" w:rsidR="00000000" w:rsidRPr="00000000">
              <w:rPr>
                <w:rFonts w:ascii="Verdana" w:cs="Verdana" w:eastAsia="Verdana" w:hAnsi="Verdana"/>
                <w:b w:val="1"/>
                <w:sz w:val="16"/>
                <w:szCs w:val="16"/>
                <w:rtl w:val="0"/>
              </w:rPr>
              <w:t xml:space="preserve">Moda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_2gbttc3fewq1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hyperlink w:anchor="_lmacrl407z9p">
            <w:r w:rsidDel="00000000" w:rsidR="00000000" w:rsidRPr="00000000">
              <w:rPr>
                <w:rFonts w:ascii="Verdana" w:cs="Verdana" w:eastAsia="Verdana" w:hAnsi="Verdana"/>
                <w:b w:val="1"/>
                <w:sz w:val="16"/>
                <w:szCs w:val="16"/>
                <w:rtl w:val="0"/>
              </w:rPr>
              <w:t xml:space="preserve">Varianza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_lmacrl407z9p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hyperlink w:anchor="_3v5ozh63t9m9">
            <w:r w:rsidDel="00000000" w:rsidR="00000000" w:rsidRPr="00000000">
              <w:rPr>
                <w:rFonts w:ascii="Verdana" w:cs="Verdana" w:eastAsia="Verdana" w:hAnsi="Verdana"/>
                <w:b w:val="1"/>
                <w:sz w:val="16"/>
                <w:szCs w:val="16"/>
                <w:rtl w:val="0"/>
              </w:rPr>
              <w:t xml:space="preserve">Desviación típica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_3v5ozh63t9m9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hyperlink w:anchor="_n3x5yqp573q0">
            <w:r w:rsidDel="00000000" w:rsidR="00000000" w:rsidRPr="00000000">
              <w:rPr>
                <w:rFonts w:ascii="Verdana" w:cs="Verdana" w:eastAsia="Verdana" w:hAnsi="Verdana"/>
                <w:b w:val="1"/>
                <w:sz w:val="16"/>
                <w:szCs w:val="16"/>
                <w:rtl w:val="0"/>
              </w:rPr>
              <w:t xml:space="preserve">Unidad tipificada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_n3x5yqp573q0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jsia234cj6sr">
            <w:r w:rsidDel="00000000" w:rsidR="00000000" w:rsidRPr="00000000">
              <w:rPr>
                <w:rFonts w:ascii="Verdana" w:cs="Verdana" w:eastAsia="Verdana" w:hAnsi="Verdana"/>
                <w:b w:val="1"/>
                <w:sz w:val="16"/>
                <w:szCs w:val="16"/>
                <w:rtl w:val="0"/>
              </w:rPr>
              <w:t xml:space="preserve">Cuartiles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_jsia234cj6sr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hyperlink w:anchor="_5nl5ioba0qdh">
            <w:r w:rsidDel="00000000" w:rsidR="00000000" w:rsidRPr="00000000">
              <w:rPr>
                <w:rFonts w:ascii="Verdana" w:cs="Verdana" w:eastAsia="Verdana" w:hAnsi="Verdana"/>
                <w:b w:val="1"/>
                <w:sz w:val="16"/>
                <w:szCs w:val="16"/>
                <w:rtl w:val="0"/>
              </w:rPr>
              <w:t xml:space="preserve">Percentil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_5nl5ioba0qdh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hyperlink w:anchor="_8g85i1eguy1g">
            <w:r w:rsidDel="00000000" w:rsidR="00000000" w:rsidRPr="00000000">
              <w:rPr>
                <w:rFonts w:ascii="Verdana" w:cs="Verdana" w:eastAsia="Verdana" w:hAnsi="Verdana"/>
                <w:b w:val="1"/>
                <w:sz w:val="16"/>
                <w:szCs w:val="16"/>
                <w:rtl w:val="0"/>
              </w:rPr>
              <w:t xml:space="preserve">Coeficientes de asimetría (Fisher, Pearson y Bowley-Yule)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_8g85i1eguy1g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hyperlink w:anchor="_jsm3bociaohp">
            <w:r w:rsidDel="00000000" w:rsidR="00000000" w:rsidRPr="00000000">
              <w:rPr>
                <w:rFonts w:ascii="Verdana" w:cs="Verdana" w:eastAsia="Verdana" w:hAnsi="Verdana"/>
                <w:b w:val="1"/>
                <w:sz w:val="16"/>
                <w:szCs w:val="16"/>
                <w:rtl w:val="0"/>
              </w:rPr>
              <w:t xml:space="preserve">Curtosis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_jsm3bociaohp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4">
      <w:pPr>
        <w:pStyle w:val="Heading1"/>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5">
      <w:pPr>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No es necesario hacer hincapié en como realizar los cálculos estadísticos, ya que para ello podemos utilizar gran cantidad de utilidades libres, como LibreOffice Calc </w:t>
      </w:r>
      <w:hyperlink r:id="rId9">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10">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numPr>
          <w:ilvl w:val="0"/>
          <w:numId w:val="8"/>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2E">
      <w:pPr>
        <w:pStyle w:val="Heading2"/>
        <w:numPr>
          <w:ilvl w:val="1"/>
          <w:numId w:val="8"/>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2F">
      <w:pPr>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0">
      <w:pPr>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8"/>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3D">
      <w:pPr>
        <w:rPr/>
      </w:pPr>
      <w:r w:rsidDel="00000000" w:rsidR="00000000" w:rsidRPr="00000000">
        <w:rPr>
          <w:rtl w:val="0"/>
        </w:rPr>
        <w:t xml:space="preserve">La mediana es un valor que se obtiene al ordenar un conjunto de datos cuantitativos y seleccionar el dato “de enmedio”.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0">
      <w:pPr>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1">
      <w:pPr>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Más información </w:t>
      </w:r>
      <w:hyperlink r:id="rId12">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8"/>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48">
      <w:pPr>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porqué estar cerca del centro de la distribución.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Mas información </w:t>
      </w:r>
      <w:hyperlink r:id="rId13">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1"/>
          <w:numId w:val="8"/>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4F">
      <w:pPr>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0">
      <w:pPr>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al cuadrado.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Para calcular la varianza:</w:t>
      </w:r>
    </w:p>
    <w:p w:rsidR="00000000" w:rsidDel="00000000" w:rsidP="00000000" w:rsidRDefault="00000000" w:rsidRPr="00000000" w14:paraId="00000053">
      <w:pPr>
        <w:numPr>
          <w:ilvl w:val="0"/>
          <w:numId w:val="9"/>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4">
      <w:pPr>
        <w:numPr>
          <w:ilvl w:val="0"/>
          <w:numId w:val="9"/>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5">
      <w:pPr>
        <w:numPr>
          <w:ilvl w:val="0"/>
          <w:numId w:val="9"/>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Los valores obtenidos al calcular la varianza no tiene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Mas información </w:t>
      </w:r>
      <w:hyperlink r:id="rId14">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t>
        <w:tab/>
      </w:r>
    </w:p>
    <w:p w:rsidR="00000000" w:rsidDel="00000000" w:rsidP="00000000" w:rsidRDefault="00000000" w:rsidRPr="00000000" w14:paraId="0000005C">
      <w:pPr>
        <w:pStyle w:val="Heading2"/>
        <w:numPr>
          <w:ilvl w:val="1"/>
          <w:numId w:val="8"/>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5D">
      <w:pPr>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Por sus características, se podría decir, que la desviación típica es cuánto esperas que se desvie un valor del conjunto de datos de la media de dicho conjunto.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numPr>
          <w:ilvl w:val="1"/>
          <w:numId w:val="8"/>
        </w:numPr>
        <w:rPr>
          <w:color w:val="669966"/>
        </w:rPr>
      </w:pPr>
      <w:bookmarkStart w:colFirst="0" w:colLast="0" w:name="_n3x5yqp573q0" w:id="8"/>
      <w:bookmarkEnd w:id="8"/>
      <w:r w:rsidDel="00000000" w:rsidR="00000000" w:rsidRPr="00000000">
        <w:rPr>
          <w:rtl w:val="0"/>
        </w:rPr>
        <w:t xml:space="preserve">Unidad tipificada (Standard score, Z-score)</w:t>
      </w:r>
    </w:p>
    <w:p w:rsidR="00000000" w:rsidDel="00000000" w:rsidP="00000000" w:rsidRDefault="00000000" w:rsidRPr="00000000" w14:paraId="00000068">
      <w:pPr>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6B">
      <w:pPr>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6E">
      <w:pPr>
        <w:numPr>
          <w:ilvl w:val="0"/>
          <w:numId w:val="7"/>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6F">
      <w:pPr>
        <w:numPr>
          <w:ilvl w:val="1"/>
          <w:numId w:val="7"/>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72">
      <w:pPr>
        <w:numPr>
          <w:ilvl w:val="1"/>
          <w:numId w:val="7"/>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3"/>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79">
      <w:pPr>
        <w:numPr>
          <w:ilvl w:val="0"/>
          <w:numId w:val="13"/>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7E">
      <w:pPr>
        <w:numPr>
          <w:ilvl w:val="0"/>
          <w:numId w:val="6"/>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7F">
      <w:pPr>
        <w:numPr>
          <w:ilvl w:val="0"/>
          <w:numId w:val="6"/>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80">
      <w:pPr>
        <w:numPr>
          <w:ilvl w:val="0"/>
          <w:numId w:val="6"/>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81">
      <w:pPr>
        <w:numPr>
          <w:ilvl w:val="1"/>
          <w:numId w:val="6"/>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82">
      <w:pPr>
        <w:numPr>
          <w:ilvl w:val="1"/>
          <w:numId w:val="6"/>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83">
      <w:pPr>
        <w:ind w:left="0" w:firstLine="0"/>
        <w:rPr/>
      </w:pPr>
      <w:r w:rsidDel="00000000" w:rsidR="00000000" w:rsidRPr="00000000">
        <w:rPr>
          <w:rtl w:val="0"/>
        </w:rPr>
        <w:t xml:space="preserve">Más información: </w:t>
      </w:r>
      <w:hyperlink r:id="rId16">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84">
      <w:pPr>
        <w:pStyle w:val="Heading2"/>
        <w:numPr>
          <w:ilvl w:val="1"/>
          <w:numId w:val="8"/>
        </w:numPr>
        <w:rPr>
          <w:color w:val="669966"/>
        </w:rPr>
      </w:pPr>
      <w:bookmarkStart w:colFirst="0" w:colLast="0" w:name="_jsia234cj6sr" w:id="9"/>
      <w:bookmarkEnd w:id="9"/>
      <w:r w:rsidDel="00000000" w:rsidR="00000000" w:rsidRPr="00000000">
        <w:rPr>
          <w:rtl w:val="0"/>
        </w:rPr>
        <w:t xml:space="preserve">Cuartiles</w:t>
      </w:r>
    </w:p>
    <w:p w:rsidR="00000000" w:rsidDel="00000000" w:rsidP="00000000" w:rsidRDefault="00000000" w:rsidRPr="00000000" w14:paraId="00000085">
      <w:pPr>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88">
      <w:pPr>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89">
      <w:pPr>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8A">
      <w:pPr>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8B">
      <w:pPr>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8C">
      <w:pPr>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8D">
      <w:pPr>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2"/>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97">
      <w:pPr>
        <w:numPr>
          <w:ilvl w:val="1"/>
          <w:numId w:val="12"/>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98">
      <w:pPr>
        <w:numPr>
          <w:ilvl w:val="0"/>
          <w:numId w:val="12"/>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99">
      <w:pPr>
        <w:numPr>
          <w:ilvl w:val="0"/>
          <w:numId w:val="12"/>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Más información:</w:t>
      </w:r>
    </w:p>
    <w:p w:rsidR="00000000" w:rsidDel="00000000" w:rsidP="00000000" w:rsidRDefault="00000000" w:rsidRPr="00000000" w14:paraId="0000009C">
      <w:pPr>
        <w:numPr>
          <w:ilvl w:val="0"/>
          <w:numId w:val="1"/>
        </w:numPr>
        <w:spacing w:after="0" w:afterAutospacing="0"/>
        <w:ind w:left="720" w:hanging="360"/>
        <w:rPr>
          <w:u w:val="none"/>
        </w:rPr>
      </w:pPr>
      <w:r w:rsidDel="00000000" w:rsidR="00000000" w:rsidRPr="00000000">
        <w:rPr>
          <w:rtl w:val="0"/>
        </w:rPr>
        <w:t xml:space="preserve">Cuartiles </w:t>
      </w:r>
      <w:hyperlink r:id="rId17">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9D">
      <w:pPr>
        <w:numPr>
          <w:ilvl w:val="0"/>
          <w:numId w:val="1"/>
        </w:numPr>
        <w:spacing w:before="0" w:beforeAutospacing="0"/>
        <w:ind w:left="720" w:hanging="360"/>
        <w:rPr>
          <w:u w:val="none"/>
        </w:rPr>
      </w:pPr>
      <w:r w:rsidDel="00000000" w:rsidR="00000000" w:rsidRPr="00000000">
        <w:rPr>
          <w:rtl w:val="0"/>
        </w:rPr>
        <w:t xml:space="preserve">Rango intercuartilico </w:t>
      </w:r>
      <w:hyperlink r:id="rId18">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9E">
      <w:pPr>
        <w:pStyle w:val="Heading2"/>
        <w:numPr>
          <w:ilvl w:val="1"/>
          <w:numId w:val="8"/>
        </w:numPr>
        <w:rPr>
          <w:color w:val="669966"/>
        </w:rPr>
      </w:pPr>
      <w:bookmarkStart w:colFirst="0" w:colLast="0" w:name="_5nl5ioba0qdh" w:id="10"/>
      <w:bookmarkEnd w:id="10"/>
      <w:r w:rsidDel="00000000" w:rsidR="00000000" w:rsidRPr="00000000">
        <w:rPr>
          <w:rtl w:val="0"/>
        </w:rPr>
        <w:t xml:space="preserve">Percentil</w:t>
      </w:r>
    </w:p>
    <w:p w:rsidR="00000000" w:rsidDel="00000000" w:rsidP="00000000" w:rsidRDefault="00000000" w:rsidRPr="00000000" w14:paraId="0000009F">
      <w:pPr>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A0">
      <w:pPr>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Relacionándolo con los cuartiles:</w:t>
      </w:r>
    </w:p>
    <w:p w:rsidR="00000000" w:rsidDel="00000000" w:rsidP="00000000" w:rsidRDefault="00000000" w:rsidRPr="00000000" w14:paraId="000000A9">
      <w:pPr>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AA">
      <w:pPr>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AB">
      <w:pPr>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Mas información en </w:t>
      </w:r>
      <w:hyperlink r:id="rId19">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AE">
      <w:pPr>
        <w:pStyle w:val="Heading2"/>
        <w:numPr>
          <w:ilvl w:val="1"/>
          <w:numId w:val="8"/>
        </w:numPr>
        <w:rPr>
          <w:color w:val="669966"/>
        </w:rPr>
      </w:pPr>
      <w:bookmarkStart w:colFirst="0" w:colLast="0" w:name="_8g85i1eguy1g" w:id="11"/>
      <w:bookmarkEnd w:id="11"/>
      <w:r w:rsidDel="00000000" w:rsidR="00000000" w:rsidRPr="00000000">
        <w:rPr>
          <w:rtl w:val="0"/>
        </w:rPr>
        <w:t xml:space="preserve">Coeficientes de asimetría (Fisher, Pearson y Bowley-Yule)</w:t>
      </w:r>
    </w:p>
    <w:p w:rsidR="00000000" w:rsidDel="00000000" w:rsidP="00000000" w:rsidRDefault="00000000" w:rsidRPr="00000000" w14:paraId="000000AF">
      <w:pPr>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B2">
      <w:pPr>
        <w:numPr>
          <w:ilvl w:val="0"/>
          <w:numId w:val="11"/>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B3">
      <w:pPr>
        <w:numPr>
          <w:ilvl w:val="0"/>
          <w:numId w:val="11"/>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B4">
      <w:pPr>
        <w:numPr>
          <w:ilvl w:val="0"/>
          <w:numId w:val="11"/>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B7">
      <w:pPr>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B8">
      <w:pPr>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B9">
      <w:pPr>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Más información </w:t>
      </w:r>
      <w:hyperlink r:id="rId20">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BE">
      <w:pPr>
        <w:pStyle w:val="Heading2"/>
        <w:numPr>
          <w:ilvl w:val="1"/>
          <w:numId w:val="8"/>
        </w:numPr>
        <w:rPr>
          <w:color w:val="669966"/>
        </w:rPr>
      </w:pPr>
      <w:bookmarkStart w:colFirst="0" w:colLast="0" w:name="_jsm3bociaohp" w:id="12"/>
      <w:bookmarkEnd w:id="12"/>
      <w:r w:rsidDel="00000000" w:rsidR="00000000" w:rsidRPr="00000000">
        <w:rPr>
          <w:rtl w:val="0"/>
        </w:rPr>
        <w:t xml:space="preserve">Curtosis</w:t>
      </w:r>
    </w:p>
    <w:p w:rsidR="00000000" w:rsidDel="00000000" w:rsidP="00000000" w:rsidRDefault="00000000" w:rsidRPr="00000000" w14:paraId="000000BF">
      <w:pPr>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C0">
      <w:pPr>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Según los valores del coeficiente curtosis, podemos interpretar:</w:t>
      </w:r>
    </w:p>
    <w:p w:rsidR="00000000" w:rsidDel="00000000" w:rsidP="00000000" w:rsidRDefault="00000000" w:rsidRPr="00000000" w14:paraId="000000C3">
      <w:pPr>
        <w:numPr>
          <w:ilvl w:val="0"/>
          <w:numId w:val="10"/>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C4">
      <w:pPr>
        <w:numPr>
          <w:ilvl w:val="0"/>
          <w:numId w:val="10"/>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C5">
      <w:pPr>
        <w:numPr>
          <w:ilvl w:val="0"/>
          <w:numId w:val="10"/>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Mas información en </w:t>
      </w:r>
      <w:hyperlink r:id="rId21">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C8">
      <w:pPr>
        <w:pStyle w:val="Heading1"/>
        <w:numPr>
          <w:ilvl w:val="0"/>
          <w:numId w:val="8"/>
        </w:numPr>
        <w:ind w:left="0" w:right="0" w:firstLine="0"/>
        <w:rPr/>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0CA">
      <w:pPr>
        <w:rPr/>
      </w:pPr>
      <w:hyperlink r:id="rId22">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[2] Media, mediana, moda y otras medidas de resumen </w:t>
      </w:r>
    </w:p>
    <w:p w:rsidR="00000000" w:rsidDel="00000000" w:rsidP="00000000" w:rsidRDefault="00000000" w:rsidRPr="00000000" w14:paraId="000000CC">
      <w:pPr>
        <w:rPr/>
      </w:pPr>
      <w:hyperlink r:id="rId23">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Medidas de posición central: media y mediana</w:t>
      </w:r>
    </w:p>
    <w:p w:rsidR="00000000" w:rsidDel="00000000" w:rsidP="00000000" w:rsidRDefault="00000000" w:rsidRPr="00000000" w14:paraId="000000CE">
      <w:pPr>
        <w:rPr/>
      </w:pPr>
      <w:hyperlink r:id="rId24">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[4] Medidas de dispersión</w:t>
      </w:r>
    </w:p>
    <w:p w:rsidR="00000000" w:rsidDel="00000000" w:rsidP="00000000" w:rsidRDefault="00000000" w:rsidRPr="00000000" w14:paraId="000000D0">
      <w:pPr>
        <w:rPr/>
      </w:pPr>
      <w:hyperlink r:id="rId25">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[5]  Medidas de posición no central: cuartiles y percentiles</w:t>
      </w:r>
    </w:p>
    <w:p w:rsidR="00000000" w:rsidDel="00000000" w:rsidP="00000000" w:rsidRDefault="00000000" w:rsidRPr="00000000" w14:paraId="000000D2">
      <w:pPr>
        <w:rPr/>
      </w:pPr>
      <w:hyperlink r:id="rId26">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[6] Asimetría y curtosis</w:t>
      </w:r>
    </w:p>
    <w:p w:rsidR="00000000" w:rsidDel="00000000" w:rsidP="00000000" w:rsidRDefault="00000000" w:rsidRPr="00000000" w14:paraId="000000D4">
      <w:pPr>
        <w:rPr/>
      </w:pPr>
      <w:hyperlink r:id="rId27">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0"/>
          <w:numId w:val="8"/>
        </w:numPr>
        <w:ind w:left="0" w:right="0" w:firstLine="0"/>
        <w:rPr/>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28" w:type="default"/>
      <w:footerReference r:id="rId2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Asimetr%C3%ADa_estad%C3%ADstica" TargetMode="External"/><Relationship Id="rId22" Type="http://schemas.openxmlformats.org/officeDocument/2006/relationships/hyperlink" Target="https://classroom.udacity.com/courses/st101" TargetMode="External"/><Relationship Id="rId21" Type="http://schemas.openxmlformats.org/officeDocument/2006/relationships/hyperlink" Target="https://es.wikipedia.org/wiki/Curtosis" TargetMode="External"/><Relationship Id="rId24" Type="http://schemas.openxmlformats.org/officeDocument/2006/relationships/hyperlink" Target="https://www.universoformulas.com/estadistica/descriptiva/medidas-posicion-central/" TargetMode="External"/><Relationship Id="rId23" Type="http://schemas.openxmlformats.org/officeDocument/2006/relationships/hyperlink" Target="https://reporterodedatos.com/media-mediana-moda-y-otras-medidas-de-resum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libreoffice.org/" TargetMode="External"/><Relationship Id="rId26" Type="http://schemas.openxmlformats.org/officeDocument/2006/relationships/hyperlink" Target="https://www.universoformulas.com/estadistica/descriptiva/medidas-posicion-no-central/" TargetMode="External"/><Relationship Id="rId25" Type="http://schemas.openxmlformats.org/officeDocument/2006/relationships/hyperlink" Target="https://www.universoformulas.com/estadistica/descriptiva/medidas-dispersion/" TargetMode="External"/><Relationship Id="rId28" Type="http://schemas.openxmlformats.org/officeDocument/2006/relationships/header" Target="header1.xml"/><Relationship Id="rId27" Type="http://schemas.openxmlformats.org/officeDocument/2006/relationships/hyperlink" Target="https://www.universoformulas.com/estadistica/descriptiva/asimetria-curtosi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es.wikipedia.org/wiki/Media_aritm%C3%A9tica" TargetMode="External"/><Relationship Id="rId10" Type="http://schemas.openxmlformats.org/officeDocument/2006/relationships/hyperlink" Target="https://www.gnu.org/software/pspp/" TargetMode="External"/><Relationship Id="rId13" Type="http://schemas.openxmlformats.org/officeDocument/2006/relationships/hyperlink" Target="https://es.wikipedia.org/wiki/Moda_(estad%C3%ADstica)" TargetMode="External"/><Relationship Id="rId12" Type="http://schemas.openxmlformats.org/officeDocument/2006/relationships/hyperlink" Target="https://es.wikipedia.org/wiki/Mediana_(estad%C3%ADstica)" TargetMode="External"/><Relationship Id="rId15" Type="http://schemas.openxmlformats.org/officeDocument/2006/relationships/hyperlink" Target="https://es.wikipedia.org/wiki/Desviaci%C3%B3n_t%C3%ADpica" TargetMode="External"/><Relationship Id="rId14" Type="http://schemas.openxmlformats.org/officeDocument/2006/relationships/hyperlink" Target="https://es.wikipedia.org/wiki/Varianza" TargetMode="External"/><Relationship Id="rId17" Type="http://schemas.openxmlformats.org/officeDocument/2006/relationships/hyperlink" Target="https://es.wikipedia.org/wiki/Cuartil" TargetMode="External"/><Relationship Id="rId16" Type="http://schemas.openxmlformats.org/officeDocument/2006/relationships/hyperlink" Target="https://es.wikipedia.org/wiki/Unidad_tipificada" TargetMode="External"/><Relationship Id="rId19" Type="http://schemas.openxmlformats.org/officeDocument/2006/relationships/hyperlink" Target="https://es.wikipedia.org/wiki/Percentil" TargetMode="External"/><Relationship Id="rId18" Type="http://schemas.openxmlformats.org/officeDocument/2006/relationships/hyperlink" Target="https://es.wikipedia.org/wiki/Rango_intercuart%C3%ADlic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