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entregable 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3b0iftts1ukx"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u w:val="none"/>
                <w:rtl w:val="0"/>
              </w:rPr>
              <w:t xml:space="preserve">2.1  ¿Qué debo entregar para aprobar la actividad 1?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3. Actividad entregable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jdfsvxjd38fo"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u w:val="none"/>
                <w:rtl w:val="0"/>
              </w:rPr>
              <w:t xml:space="preserve">3.1  ¿Qué debo entregar para aprobar la actividad 2?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4. Actividad entregable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b8sz6xrst1od"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u w:val="none"/>
                <w:rtl w:val="0"/>
              </w:rPr>
              <w:t xml:space="preserve">4.1  ¿Qué debo entregar para aprobar la actividad 3?</w:t>
            </w:r>
          </w:hyperlink>
          <w:hyperlink w:anchor="_b8sz6xrst1od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varias actividades entregables relacionadas con el análisis de la asistencia, utilizando la información de los casos prácticos.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4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7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9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después del patio no están anotando faltas reales.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