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Otras aplicaciones de Learning Analytics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2020</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sz w:val="16"/>
                <w:szCs w:val="16"/>
                <w:rtl w:val="0"/>
              </w:rPr>
              <w:t xml:space="preserve">¿Qué aplicaciones vamos a ver en esta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3h5q3y98ezm2">
            <w:r w:rsidDel="00000000" w:rsidR="00000000" w:rsidRPr="00000000">
              <w:rPr>
                <w:rFonts w:ascii="Verdana" w:cs="Verdana" w:eastAsia="Verdana" w:hAnsi="Verdana"/>
                <w:b w:val="1"/>
                <w:sz w:val="16"/>
                <w:szCs w:val="16"/>
                <w:rtl w:val="0"/>
              </w:rPr>
              <w:t xml:space="preserve">¿Por qué este documento es diferente al resto de unidades?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_3h5q3y98ezm2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Otras aplicaciones de Learning Analytics</w:t>
      </w:r>
      <w:r w:rsidDel="00000000" w:rsidR="00000000" w:rsidRPr="00000000">
        <w:rPr>
          <w:rtl w:val="0"/>
        </w:rPr>
      </w:r>
    </w:p>
    <w:p w:rsidR="00000000" w:rsidDel="00000000" w:rsidP="00000000" w:rsidRDefault="00000000" w:rsidRPr="00000000" w14:paraId="0000001E">
      <w:pPr>
        <w:pStyle w:val="Heading1"/>
        <w:numPr>
          <w:ilvl w:val="0"/>
          <w:numId w:val="2"/>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1F">
      <w:pPr>
        <w:rPr/>
      </w:pPr>
      <w:r w:rsidDel="00000000" w:rsidR="00000000" w:rsidRPr="00000000">
        <w:rPr>
          <w:rtl w:val="0"/>
        </w:rPr>
        <w:t xml:space="preserve">Durante las distintas unidades de este curso, hemos tratado diferentes contextos donde aplicar “Learning Analytics”. Algunos de ellos se nos han quedado en el tintero por no estar asociados a alguna temática concreta, pero en esta unidad final vamos a intentar que no se queden en el olvido.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Dicho de otro modo, en esta unidad vamos a describir algunos campos donde aplicar “Learning analytics” que no han tenido cabida en otras unidades, pero que consideramos interesantes :)</w:t>
      </w:r>
      <w:r w:rsidDel="00000000" w:rsidR="00000000" w:rsidRPr="00000000">
        <w:rPr>
          <w:rtl w:val="0"/>
        </w:rPr>
      </w:r>
    </w:p>
    <w:p w:rsidR="00000000" w:rsidDel="00000000" w:rsidP="00000000" w:rsidRDefault="00000000" w:rsidRPr="00000000" w14:paraId="00000022">
      <w:pPr>
        <w:pStyle w:val="Heading1"/>
        <w:numPr>
          <w:ilvl w:val="0"/>
          <w:numId w:val="2"/>
        </w:numPr>
        <w:ind w:left="432"/>
      </w:pPr>
      <w:bookmarkStart w:colFirst="0" w:colLast="0" w:name="_6aitq3odqz1f" w:id="2"/>
      <w:bookmarkEnd w:id="2"/>
      <w:r w:rsidDel="00000000" w:rsidR="00000000" w:rsidRPr="00000000">
        <w:rPr>
          <w:rtl w:val="0"/>
        </w:rPr>
        <w:t xml:space="preserve">¿Qué aplicaciones vamos a ver en esta unidad?</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Algunas de las aplicaciones que trataremos en esta unidad son:</w:t>
      </w:r>
    </w:p>
    <w:p w:rsidR="00000000" w:rsidDel="00000000" w:rsidP="00000000" w:rsidRDefault="00000000" w:rsidRPr="00000000" w14:paraId="00000024">
      <w:pPr>
        <w:numPr>
          <w:ilvl w:val="0"/>
          <w:numId w:val="1"/>
        </w:numPr>
        <w:spacing w:after="0" w:afterAutospacing="0"/>
        <w:ind w:left="720" w:hanging="360"/>
        <w:rPr>
          <w:b w:val="1"/>
        </w:rPr>
      </w:pPr>
      <w:r w:rsidDel="00000000" w:rsidR="00000000" w:rsidRPr="00000000">
        <w:rPr>
          <w:b w:val="1"/>
          <w:rtl w:val="0"/>
        </w:rPr>
        <w:t xml:space="preserve">Visualización de videos en Youtube.</w:t>
      </w:r>
    </w:p>
    <w:p w:rsidR="00000000" w:rsidDel="00000000" w:rsidP="00000000" w:rsidRDefault="00000000" w:rsidRPr="00000000" w14:paraId="00000025">
      <w:pPr>
        <w:numPr>
          <w:ilvl w:val="1"/>
          <w:numId w:val="1"/>
        </w:numPr>
        <w:spacing w:after="0" w:afterAutospacing="0" w:before="0" w:beforeAutospacing="0"/>
        <w:ind w:left="1440" w:hanging="360"/>
        <w:rPr>
          <w:u w:val="none"/>
        </w:rPr>
      </w:pPr>
      <w:r w:rsidDel="00000000" w:rsidR="00000000" w:rsidRPr="00000000">
        <w:rPr>
          <w:rtl w:val="0"/>
        </w:rPr>
        <w:t xml:space="preserve">Veremos qué información útil nos proporciona Youtube sobre nuestros videos.</w:t>
      </w:r>
    </w:p>
    <w:p w:rsidR="00000000" w:rsidDel="00000000" w:rsidP="00000000" w:rsidRDefault="00000000" w:rsidRPr="00000000" w14:paraId="00000026">
      <w:pPr>
        <w:numPr>
          <w:ilvl w:val="0"/>
          <w:numId w:val="1"/>
        </w:numPr>
        <w:spacing w:after="0" w:afterAutospacing="0" w:before="0" w:beforeAutospacing="0"/>
        <w:ind w:left="720" w:hanging="360"/>
        <w:rPr>
          <w:b w:val="1"/>
        </w:rPr>
      </w:pPr>
      <w:r w:rsidDel="00000000" w:rsidR="00000000" w:rsidRPr="00000000">
        <w:rPr>
          <w:b w:val="1"/>
          <w:rtl w:val="0"/>
        </w:rPr>
        <w:t xml:space="preserve">Análisis de sentimientos.</w:t>
      </w:r>
    </w:p>
    <w:p w:rsidR="00000000" w:rsidDel="00000000" w:rsidP="00000000" w:rsidRDefault="00000000" w:rsidRPr="00000000" w14:paraId="00000027">
      <w:pPr>
        <w:numPr>
          <w:ilvl w:val="1"/>
          <w:numId w:val="1"/>
        </w:numPr>
        <w:spacing w:after="0" w:afterAutospacing="0" w:before="0" w:beforeAutospacing="0"/>
        <w:ind w:left="1440" w:hanging="360"/>
        <w:rPr>
          <w:u w:val="none"/>
        </w:rPr>
      </w:pPr>
      <w:r w:rsidDel="00000000" w:rsidR="00000000" w:rsidRPr="00000000">
        <w:rPr>
          <w:rtl w:val="0"/>
        </w:rPr>
        <w:t xml:space="preserve">Procederemos a analizar los sentimientos de un texto.</w:t>
      </w:r>
    </w:p>
    <w:p w:rsidR="00000000" w:rsidDel="00000000" w:rsidP="00000000" w:rsidRDefault="00000000" w:rsidRPr="00000000" w14:paraId="00000028">
      <w:pPr>
        <w:numPr>
          <w:ilvl w:val="0"/>
          <w:numId w:val="1"/>
        </w:numPr>
        <w:spacing w:after="0" w:afterAutospacing="0" w:before="0" w:beforeAutospacing="0"/>
        <w:ind w:left="720" w:hanging="360"/>
        <w:rPr>
          <w:b w:val="1"/>
        </w:rPr>
      </w:pPr>
      <w:r w:rsidDel="00000000" w:rsidR="00000000" w:rsidRPr="00000000">
        <w:rPr>
          <w:b w:val="1"/>
          <w:rtl w:val="0"/>
        </w:rPr>
        <w:t xml:space="preserve">Plataformas de debate (Kialo).</w:t>
      </w:r>
    </w:p>
    <w:p w:rsidR="00000000" w:rsidDel="00000000" w:rsidP="00000000" w:rsidRDefault="00000000" w:rsidRPr="00000000" w14:paraId="00000029">
      <w:pPr>
        <w:numPr>
          <w:ilvl w:val="1"/>
          <w:numId w:val="1"/>
        </w:numPr>
        <w:spacing w:after="0" w:afterAutospacing="0" w:before="0" w:beforeAutospacing="0"/>
        <w:ind w:left="1440" w:hanging="360"/>
        <w:rPr>
          <w:u w:val="none"/>
        </w:rPr>
      </w:pPr>
      <w:r w:rsidDel="00000000" w:rsidR="00000000" w:rsidRPr="00000000">
        <w:rPr>
          <w:rtl w:val="0"/>
        </w:rPr>
        <w:t xml:space="preserve">Veremos un ejemplo de información que se puede extraer de una plataforma de debate, como kialo.com</w:t>
      </w:r>
    </w:p>
    <w:p w:rsidR="00000000" w:rsidDel="00000000" w:rsidP="00000000" w:rsidRDefault="00000000" w:rsidRPr="00000000" w14:paraId="0000002A">
      <w:pPr>
        <w:numPr>
          <w:ilvl w:val="0"/>
          <w:numId w:val="1"/>
        </w:numPr>
        <w:spacing w:after="0" w:afterAutospacing="0" w:before="0" w:beforeAutospacing="0"/>
        <w:ind w:left="720" w:hanging="360"/>
        <w:rPr>
          <w:u w:val="none"/>
        </w:rPr>
      </w:pPr>
      <w:r w:rsidDel="00000000" w:rsidR="00000000" w:rsidRPr="00000000">
        <w:rPr>
          <w:b w:val="1"/>
          <w:rtl w:val="0"/>
        </w:rPr>
        <w:t xml:space="preserve">Sociogramas</w:t>
      </w:r>
      <w:r w:rsidDel="00000000" w:rsidR="00000000" w:rsidRPr="00000000">
        <w:rPr>
          <w:rtl w:val="0"/>
        </w:rPr>
        <w:t xml:space="preserve">.</w:t>
      </w:r>
    </w:p>
    <w:p w:rsidR="00000000" w:rsidDel="00000000" w:rsidP="00000000" w:rsidRDefault="00000000" w:rsidRPr="00000000" w14:paraId="0000002B">
      <w:pPr>
        <w:numPr>
          <w:ilvl w:val="1"/>
          <w:numId w:val="1"/>
        </w:numPr>
        <w:spacing w:before="0" w:beforeAutospacing="0"/>
        <w:ind w:left="1440" w:hanging="360"/>
        <w:rPr>
          <w:u w:val="none"/>
        </w:rPr>
      </w:pPr>
      <w:r w:rsidDel="00000000" w:rsidR="00000000" w:rsidRPr="00000000">
        <w:rPr>
          <w:rtl w:val="0"/>
        </w:rPr>
        <w:t xml:space="preserve">Veremos qué información podemos obtener de un sociograma.</w:t>
      </w:r>
    </w:p>
    <w:p w:rsidR="00000000" w:rsidDel="00000000" w:rsidP="00000000" w:rsidRDefault="00000000" w:rsidRPr="00000000" w14:paraId="0000002C">
      <w:pPr>
        <w:pStyle w:val="Heading1"/>
        <w:numPr>
          <w:ilvl w:val="0"/>
          <w:numId w:val="2"/>
        </w:numPr>
        <w:ind w:left="432"/>
        <w:rPr>
          <w:smallCaps w:val="1"/>
          <w:color w:val="669966"/>
          <w:sz w:val="28"/>
          <w:szCs w:val="28"/>
        </w:rPr>
      </w:pPr>
      <w:bookmarkStart w:colFirst="0" w:colLast="0" w:name="_3h5q3y98ezm2" w:id="3"/>
      <w:bookmarkEnd w:id="3"/>
      <w:r w:rsidDel="00000000" w:rsidR="00000000" w:rsidRPr="00000000">
        <w:rPr>
          <w:rtl w:val="0"/>
        </w:rPr>
        <w:t xml:space="preserve">¿Por qué este documento es diferente al resto de unidades?</w:t>
      </w:r>
    </w:p>
    <w:p w:rsidR="00000000" w:rsidDel="00000000" w:rsidP="00000000" w:rsidRDefault="00000000" w:rsidRPr="00000000" w14:paraId="0000002D">
      <w:pPr>
        <w:rPr/>
      </w:pPr>
      <w:r w:rsidDel="00000000" w:rsidR="00000000" w:rsidRPr="00000000">
        <w:rPr>
          <w:rtl w:val="0"/>
        </w:rPr>
        <w:t xml:space="preserve">Generalmente, en este documento hablamos sobre una temática concreta y explotamos todas sus posibilidades (ideas de extracción de información, posibles objetivos, métricas, aspectos a analizar, actuaciones, etc.).</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Al tratar los casos prácticos de esta unidad sobre temas muy heterogéneos entre sí, hemos dejado que esta función la hagan los propios casos de estudio planteados en la unidad. Esperamos con esta última unidad haber introducido algunos temas que puedan ser de vuestro interés.</w:t>
      </w:r>
      <w:r w:rsidDel="00000000" w:rsidR="00000000" w:rsidRPr="00000000">
        <w:rPr>
          <w:rtl w:val="0"/>
        </w:rPr>
      </w:r>
    </w:p>
    <w:p w:rsidR="00000000" w:rsidDel="00000000" w:rsidP="00000000" w:rsidRDefault="00000000" w:rsidRPr="00000000" w14:paraId="00000030">
      <w:pPr>
        <w:pStyle w:val="Heading1"/>
        <w:numPr>
          <w:ilvl w:val="0"/>
          <w:numId w:val="2"/>
        </w:numPr>
        <w:ind w:left="432"/>
        <w:jc w:val="both"/>
        <w:rPr>
          <w:smallCaps w:val="1"/>
          <w:color w:val="669966"/>
          <w:sz w:val="28"/>
          <w:szCs w:val="28"/>
        </w:rPr>
      </w:pPr>
      <w:bookmarkStart w:colFirst="0" w:colLast="0" w:name="_6mthzm8fdk9x" w:id="4"/>
      <w:bookmarkEnd w:id="4"/>
      <w:r w:rsidDel="00000000" w:rsidR="00000000" w:rsidRPr="00000000">
        <w:rPr>
          <w:rtl w:val="0"/>
        </w:rPr>
        <w:t xml:space="preserve">Bibliografía</w:t>
      </w:r>
    </w:p>
    <w:p w:rsidR="00000000" w:rsidDel="00000000" w:rsidP="00000000" w:rsidRDefault="00000000" w:rsidRPr="00000000" w14:paraId="00000031">
      <w:pPr>
        <w:ind w:left="0" w:firstLine="0"/>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[2]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0" w:type="default"/>
      <w:footerReference r:id="rId1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Otras aplicaciones de </w:t>
    </w:r>
    <w:r w:rsidDel="00000000" w:rsidR="00000000" w:rsidRPr="00000000">
      <w:rPr>
        <w:rFonts w:ascii="Tahoma" w:cs="Tahoma" w:eastAsia="Tahoma" w:hAnsi="Tahoma"/>
        <w:smallCaps w:val="1"/>
        <w:color w:val="999966"/>
        <w:sz w:val="18"/>
        <w:szCs w:val="18"/>
        <w:rtl w:val="0"/>
      </w:rPr>
      <w:t xml:space="preserve">Learning Analytics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