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04.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8389015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Entrega “Caso práctico 1” (Solo se entrega un caso práctico)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akjyaz3pj5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Entrega “Caso práctico 2” (Solo se entrega un caso práctico)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 SOLO UNO de los dos casos prácticos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Captura mostrando que la estructura dockerizada está en marcha.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akjyaz3pj5t" w:id="3"/>
      <w:bookmarkEnd w:id="3"/>
      <w:r w:rsidDel="00000000" w:rsidR="00000000" w:rsidRPr="00000000">
        <w:rPr>
          <w:rtl w:val="0"/>
        </w:rPr>
        <w:t xml:space="preserve">Entrega “Caso práctico 2” (Solo se entrega un caso práctico)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Captura mostrando que la estructura dockerizada con N contenedores y balanceo de carga está en marcha.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04.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