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De problema a reto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BENEFICIOS DESDE EL PUNTO DE VISTA DEL PROCESO DE APRENDIZAJE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Beneficio 1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Beneficio 2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BENEFICIOS DESDE EL PUNTO DE VISTA DEL PROCESO DE LA EMPRESA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Beneficio 1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Beneficio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IDENTIFICAR LOS PROBLEMAS QUE NOS HARÍAN FRACASAR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 2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¿QUÉ PROBLEMAS PODRÍA OCASIONAR A LA EMPRESA?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 1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