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rFonts w:ascii="Proxima Nova" w:cs="Proxima Nova" w:eastAsia="Proxima Nova" w:hAnsi="Proxima Nova"/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rFonts w:ascii="Proxima Nova" w:cs="Proxima Nova" w:eastAsia="Proxima Nova" w:hAnsi="Proxima Nova"/>
          <w:b w:val="0"/>
          <w:color w:val="669966"/>
          <w:sz w:val="48"/>
          <w:szCs w:val="48"/>
          <w:rtl w:val="0"/>
        </w:rPr>
        <w:t xml:space="preserve">Obtener y organizar información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color w:val="404040"/>
          <w:sz w:val="88"/>
          <w:szCs w:val="88"/>
          <w:rtl w:val="0"/>
        </w:rPr>
        <w:t xml:space="preserve">Equipo 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7675" cy="57150"/>
            <wp:effectExtent b="0" l="0" r="0" t="0"/>
            <wp:docPr descr="short line" id="1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5445"/>
        <w:gridCol w:w="1575"/>
        <w:tblGridChange w:id="0">
          <w:tblGrid>
            <w:gridCol w:w="2490"/>
            <w:gridCol w:w="5445"/>
            <w:gridCol w:w="157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Base de datos de conocimiento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Tecnología X1 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1"/>
                <w:numId w:val="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Teoría: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A: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http://teoria.com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3"/>
                <w:numId w:val="1"/>
              </w:numPr>
              <w:spacing w:after="0" w:before="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Explica los conceptos de noseque.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1"/>
                <w:numId w:val="1"/>
              </w:numPr>
              <w:spacing w:after="0" w:before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Tutoriales: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B: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http://tutorial.com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3"/>
                <w:numId w:val="1"/>
              </w:numPr>
              <w:spacing w:after="0" w:before="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 castellano, útil para empezar noseque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1"/>
                <w:numId w:val="1"/>
              </w:numPr>
              <w:spacing w:after="0" w:before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Cheatsheets: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Web: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http://cheatsheets.com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3"/>
                <w:numId w:val="1"/>
              </w:numPr>
              <w:spacing w:after="0" w:before="0" w:lineRule="auto"/>
              <w:ind w:left="2880" w:hanging="360"/>
            </w:pPr>
            <w:r w:rsidDel="00000000" w:rsidR="00000000" w:rsidRPr="00000000">
              <w:rPr>
                <w:rtl w:val="0"/>
              </w:rPr>
              <w:t xml:space="preserve">Resume los comandos de X, Y, Z.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1"/>
                <w:numId w:val="1"/>
              </w:numPr>
              <w:spacing w:after="0" w:before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Comunidad Telegram: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2"/>
                <w:numId w:val="1"/>
              </w:numPr>
              <w:spacing w:after="0" w:before="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Enlace a comunidad: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3"/>
                <w:numId w:val="1"/>
              </w:numPr>
              <w:spacing w:after="0" w:before="0" w:lineRule="auto"/>
              <w:ind w:left="288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Hablan sobre esta tecnología en castellano.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Tecnología X2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before="0" w:line="240" w:lineRule="auto"/>
              <w:ind w:lef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3.8582677165355" w:top="1133.8582677165355" w:left="1275.5905511811022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color="666633" w:space="2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ab/>
      <w:tab/>
      <w:t xml:space="preserve">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pBdr>
        <w:bottom w:color="666633" w:space="0" w:sz="4" w:val="single"/>
      </w:pBdr>
      <w:tabs>
        <w:tab w:val="center" w:pos="4819"/>
        <w:tab w:val="right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widowControl w:val="0"/>
        <w:spacing w:after="62" w:before="57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heatsheets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teoria.com" TargetMode="External"/><Relationship Id="rId8" Type="http://schemas.openxmlformats.org/officeDocument/2006/relationships/hyperlink" Target="http://tutoria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