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600" w:right="800" w:hanging="600"/>
        <w:jc w:val="left"/>
        <w:rPr>
          <w:rFonts w:ascii="Verdana" w:cs="Verdana" w:eastAsia="Verdana" w:hAnsi="Verdana"/>
          <w:b w:val="0"/>
          <w:i w:val="0"/>
          <w:smallCaps w:val="0"/>
          <w:strike w:val="0"/>
          <w:color w:val="384d54"/>
          <w:sz w:val="24"/>
          <w:szCs w:val="24"/>
          <w:u w:val="none"/>
          <w:shd w:fill="auto" w:val="clear"/>
          <w:vertAlign w:val="baseline"/>
        </w:rPr>
      </w:pPr>
      <w:r w:rsidDel="00000000" w:rsidR="00000000" w:rsidRPr="00000000">
        <w:rPr>
          <w:rFonts w:ascii="Calibri" w:cs="Calibri" w:eastAsia="Calibri" w:hAnsi="Calibri"/>
          <w:color w:val="666666"/>
          <w:sz w:val="22"/>
          <w:szCs w:val="22"/>
          <w:shd w:fill="auto" w:val="clear"/>
        </w:rPr>
        <w:drawing>
          <wp:inline distB="114300" distT="114300" distL="114300" distR="114300">
            <wp:extent cx="190500" cy="19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color w:val="384d54"/>
          <w:sz w:val="24"/>
          <w:szCs w:val="24"/>
          <w:shd w:fill="auto" w:val="clear"/>
          <w:rtl w:val="0"/>
        </w:rPr>
        <w:t xml:space="preserve">Convocatorias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800" w:hanging="600"/>
        <w:jc w:val="left"/>
        <w:rPr>
          <w:rFonts w:ascii="Calibri" w:cs="Calibri" w:eastAsia="Calibri" w:hAnsi="Calibri"/>
          <w:color w:val="666666"/>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Extraído de Instrucciones inicio de curso 21/22, artículo 13.1:</w:t>
      </w:r>
      <w:r w:rsidDel="00000000" w:rsidR="00000000" w:rsidRPr="00000000">
        <w:rPr>
          <w:rtl w:val="0"/>
        </w:rPr>
      </w:r>
    </w:p>
    <w:p w:rsidR="00000000" w:rsidDel="00000000" w:rsidP="00000000" w:rsidRDefault="00000000" w:rsidRPr="00000000" w14:paraId="00000004">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El alumno podrá disponer por cada curso académico de una convocatoria ordinaria y otra extraordinaria, como máximo. Del mismo modo, podrá presentarse a la evaluación y calificación final de un mismo módulo profesional, incluidas las convocatorias ordinarias y las extraordinarias, un máximo de cuatro veces, en cada una de las modalidades de enseñanza de impartición de FP en un mismo ciclo formativo:</w:t>
      </w:r>
    </w:p>
    <w:p w:rsidR="00000000" w:rsidDel="00000000" w:rsidP="00000000" w:rsidRDefault="00000000" w:rsidRPr="00000000" w14:paraId="00000005">
      <w:pPr>
        <w:pageBreakBefore w:val="0"/>
        <w:numPr>
          <w:ilvl w:val="2"/>
          <w:numId w:val="1"/>
        </w:numPr>
        <w:spacing w:after="0" w:afterAutospacing="0" w:before="0" w:beforeAutospacing="0"/>
        <w:ind w:left="216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Es decir, el alumnado dispondrá de un máximo de 4 convocatorias en la modalidad presencial y 4 convocatorias en la modalidad semipresencial o a distancia; por lo tanto, dispone de un máximo de 8 convocatorias entre las dos modalidades.</w:t>
      </w:r>
    </w:p>
    <w:p w:rsidR="00000000" w:rsidDel="00000000" w:rsidP="00000000" w:rsidRDefault="00000000" w:rsidRPr="00000000" w14:paraId="00000006">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Para el módulo de FCT, sólo podrá presentarse en 2 convocatorias en la modalidad presencial y 2 convocatorias en la modalidad semipresencial; por lo tanto, dispone de un máximo de 4 convocatorias entre las dos modalidades.</w:t>
      </w:r>
    </w:p>
    <w:p w:rsidR="00000000" w:rsidDel="00000000" w:rsidP="00000000" w:rsidRDefault="00000000" w:rsidRPr="00000000" w14:paraId="00000007">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Las actividades de FCT sólo podrán realizarse 2 veces, preferentemente la segunda en un centro de trabajo diferente a la primera.</w:t>
      </w:r>
    </w:p>
    <w:p w:rsidR="00000000" w:rsidDel="00000000" w:rsidP="00000000" w:rsidRDefault="00000000" w:rsidRPr="00000000" w14:paraId="00000008">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 La no presentación a una convocatoria, sin haber renunciado previamente según lo que establece el punto 13 de estas instrucciones, constara como «no evaluado», «no evaluada» y será computada a efectos de la limitación indicada.</w:t>
      </w:r>
    </w:p>
    <w:p w:rsidR="00000000" w:rsidDel="00000000" w:rsidP="00000000" w:rsidRDefault="00000000" w:rsidRPr="00000000" w14:paraId="00000009">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alumnado que haya agotado el número de convocatorias establecidas podrá optar a las alternativas siguientes para superar los diferentes módulos pendientes:</w:t>
      </w:r>
    </w:p>
    <w:p w:rsidR="00000000" w:rsidDel="00000000" w:rsidP="00000000" w:rsidRDefault="00000000" w:rsidRPr="00000000" w14:paraId="0000000A">
      <w:pPr>
        <w:pageBreakBefore w:val="0"/>
        <w:numPr>
          <w:ilvl w:val="2"/>
          <w:numId w:val="1"/>
        </w:numPr>
        <w:spacing w:after="0" w:afterAutospacing="0" w:before="0" w:beforeAutospacing="0"/>
        <w:ind w:left="216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Realización de las pruebas libres para la obtención de los títulos de técnico o técnica y de técnico o técnica superior de Formación Profesional que anualmente se convocan.</w:t>
      </w:r>
    </w:p>
    <w:p w:rsidR="00000000" w:rsidDel="00000000" w:rsidP="00000000" w:rsidRDefault="00000000" w:rsidRPr="00000000" w14:paraId="0000000B">
      <w:pPr>
        <w:pageBreakBefore w:val="0"/>
        <w:numPr>
          <w:ilvl w:val="2"/>
          <w:numId w:val="1"/>
        </w:numPr>
        <w:spacing w:before="0" w:beforeAutospacing="0"/>
        <w:ind w:left="216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Solicitud de convocatoria extraordinaria o de gracia ante la dirección territorial de Educación, Cultura y Deporte correspondiente.</w:t>
      </w:r>
    </w:p>
    <w:p w:rsidR="00000000" w:rsidDel="00000000" w:rsidP="00000000" w:rsidRDefault="00000000" w:rsidRPr="00000000" w14:paraId="0000000C">
      <w:pPr>
        <w:widowControl w:val="0"/>
        <w:tabs>
          <w:tab w:val="left" w:pos="360"/>
        </w:tabs>
        <w:spacing w:after="0" w:before="0" w:line="240" w:lineRule="auto"/>
        <w:ind w:left="600" w:right="800"/>
        <w:jc w:val="both"/>
        <w:rPr>
          <w:color w:val="384d54"/>
          <w:sz w:val="24"/>
          <w:szCs w:val="24"/>
          <w:shd w:fill="auto" w:val="clear"/>
        </w:rPr>
      </w:pPr>
      <w:r w:rsidDel="00000000" w:rsidR="00000000" w:rsidRPr="00000000">
        <w:rPr>
          <w:rFonts w:ascii="Calibri" w:cs="Calibri" w:eastAsia="Calibri" w:hAnsi="Calibri"/>
          <w:color w:val="666666"/>
          <w:sz w:val="22"/>
          <w:szCs w:val="22"/>
          <w:shd w:fill="auto" w:val="clear"/>
        </w:rPr>
        <w:drawing>
          <wp:inline distB="114300" distT="114300" distL="114300" distR="114300">
            <wp:extent cx="190500" cy="190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Renuncia a la convocatoria</w:t>
      </w:r>
    </w:p>
    <w:p w:rsidR="00000000" w:rsidDel="00000000" w:rsidP="00000000" w:rsidRDefault="00000000" w:rsidRPr="00000000" w14:paraId="0000000D">
      <w:pPr>
        <w:widowControl w:val="0"/>
        <w:spacing w:after="0" w:before="0" w:line="240" w:lineRule="auto"/>
        <w:ind w:left="600" w:right="800"/>
        <w:jc w:val="both"/>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Extraído de Instrucciones inicio de curso 21/22, artículo 13.3.</w:t>
      </w:r>
    </w:p>
    <w:p w:rsidR="00000000" w:rsidDel="00000000" w:rsidP="00000000" w:rsidRDefault="00000000" w:rsidRPr="00000000" w14:paraId="0000000F">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Las renuncias a la convocatoria siempre deben ser motivadas y se debe aportar documentación acreditativa de los mismos. Los motivos posibles a aducir son: </w:t>
      </w:r>
    </w:p>
    <w:p w:rsidR="00000000" w:rsidDel="00000000" w:rsidP="00000000" w:rsidRDefault="00000000" w:rsidRPr="00000000" w14:paraId="00000010">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Enfermedad prolongada o accidente del alumno o la alumna.</w:t>
      </w:r>
    </w:p>
    <w:p w:rsidR="00000000" w:rsidDel="00000000" w:rsidP="00000000" w:rsidRDefault="00000000" w:rsidRPr="00000000" w14:paraId="00000011">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Obligaciones de tipo personal o familiar apreciadas por el equipo directivo del centro que condicionen o impidan la normal dedicación al estudio.</w:t>
      </w:r>
    </w:p>
    <w:p w:rsidR="00000000" w:rsidDel="00000000" w:rsidP="00000000" w:rsidRDefault="00000000" w:rsidRPr="00000000" w14:paraId="00000012">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Ocupación de un puesto de trabajo.</w:t>
      </w:r>
    </w:p>
    <w:p w:rsidR="00000000" w:rsidDel="00000000" w:rsidP="00000000" w:rsidRDefault="00000000" w:rsidRPr="00000000" w14:paraId="00000013">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Maternidad o paternidad, adopción o acogida.</w:t>
      </w:r>
    </w:p>
    <w:p w:rsidR="00000000" w:rsidDel="00000000" w:rsidP="00000000" w:rsidRDefault="00000000" w:rsidRPr="00000000" w14:paraId="00000014">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Otras circunstancias, debidamente justificadas, que tengan carácter excepcional.</w:t>
      </w:r>
    </w:p>
    <w:p w:rsidR="00000000" w:rsidDel="00000000" w:rsidP="00000000" w:rsidRDefault="00000000" w:rsidRPr="00000000" w14:paraId="00000015">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Propuesta del equipo educativo de no presentación a la convocatoria extraordinaria.</w:t>
      </w:r>
    </w:p>
    <w:p w:rsidR="00000000" w:rsidDel="00000000" w:rsidP="00000000" w:rsidRDefault="00000000" w:rsidRPr="00000000" w14:paraId="00000016">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solicitud de renuncia a instancias del alumno se presentará </w:t>
      </w:r>
      <w:r w:rsidDel="00000000" w:rsidR="00000000" w:rsidRPr="00000000">
        <w:rPr>
          <w:rFonts w:ascii="Calibri" w:cs="Calibri" w:eastAsia="Calibri" w:hAnsi="Calibri"/>
          <w:color w:val="666666"/>
          <w:sz w:val="22"/>
          <w:szCs w:val="22"/>
          <w:u w:val="single"/>
          <w:shd w:fill="auto" w:val="clear"/>
          <w:rtl w:val="0"/>
        </w:rPr>
        <w:t xml:space="preserve">con una antelación mínima de un mes a la fecha de la evaluación final de los módulos afectados</w:t>
      </w:r>
      <w:r w:rsidDel="00000000" w:rsidR="00000000" w:rsidRPr="00000000">
        <w:rPr>
          <w:rFonts w:ascii="Calibri" w:cs="Calibri" w:eastAsia="Calibri" w:hAnsi="Calibri"/>
          <w:color w:val="666666"/>
          <w:sz w:val="22"/>
          <w:szCs w:val="22"/>
          <w:shd w:fill="auto" w:val="clear"/>
          <w:rtl w:val="0"/>
        </w:rPr>
        <w:t xml:space="preserve">,</w:t>
      </w:r>
      <w:r w:rsidDel="00000000" w:rsidR="00000000" w:rsidRPr="00000000">
        <w:rPr>
          <w:rFonts w:ascii="Calibri" w:cs="Calibri" w:eastAsia="Calibri" w:hAnsi="Calibri"/>
          <w:color w:val="666666"/>
          <w:sz w:val="22"/>
          <w:szCs w:val="22"/>
          <w:shd w:fill="auto" w:val="clear"/>
          <w:rtl w:val="0"/>
        </w:rPr>
        <w:t xml:space="preserve"> según el anexo IX de la Orden 79/2010, de 27 de agosto.</w:t>
      </w:r>
    </w:p>
    <w:p w:rsidR="00000000" w:rsidDel="00000000" w:rsidP="00000000" w:rsidRDefault="00000000" w:rsidRPr="00000000" w14:paraId="00000017">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u w:val="single"/>
          <w:shd w:fill="auto" w:val="clear"/>
          <w:rtl w:val="0"/>
        </w:rPr>
        <w:t xml:space="preserve">Si la solicitud fuera a propuesta del equipo educativo, no sería necesario que se presentará con dicha antelación mínima de un mes.</w:t>
      </w:r>
    </w:p>
    <w:p w:rsidR="00000000" w:rsidDel="00000000" w:rsidP="00000000" w:rsidRDefault="00000000" w:rsidRPr="00000000" w14:paraId="00000018">
      <w:pPr>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director o directora del centro resolverá la petición de renuncia en un plazo de 5 días hábiles.</w:t>
      </w:r>
    </w:p>
    <w:p w:rsidR="00000000" w:rsidDel="00000000" w:rsidP="00000000" w:rsidRDefault="00000000" w:rsidRPr="00000000" w14:paraId="00000019">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Con la misma finalidad, cuando se produzca alguna de las circunstancias descritas en el punto anterior, se podrá renunciar a la evaluación y calificación de una de las convocatorias o de las dos previstas para el módulo o unidad formativa de FCT.</w:t>
      </w:r>
    </w:p>
    <w:p w:rsidR="00000000" w:rsidDel="00000000" w:rsidP="00000000" w:rsidRDefault="00000000" w:rsidRPr="00000000" w14:paraId="0000001A">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renuncia a la evaluación y calificación en alguna convocatoria del módulo de FCT implica, a su vez, la renuncia en la misma convocatoria a la evaluación y calificación del módulo profesional de Proyecto.</w:t>
      </w:r>
    </w:p>
    <w:p w:rsidR="00000000" w:rsidDel="00000000" w:rsidP="00000000" w:rsidRDefault="00000000" w:rsidRPr="00000000" w14:paraId="0000001B">
      <w:pPr>
        <w:numPr>
          <w:ilvl w:val="1"/>
          <w:numId w:val="2"/>
        </w:numPr>
        <w:spacing w:after="0" w:afterAutospacing="0"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solicitud para que se admita esta renuncia se podrá efectuar durante todo el periodo previsto para la realización del módulo o la unidad formativa de FCT.</w:t>
      </w:r>
    </w:p>
    <w:p w:rsidR="00000000" w:rsidDel="00000000" w:rsidP="00000000" w:rsidRDefault="00000000" w:rsidRPr="00000000" w14:paraId="0000001C">
      <w:pPr>
        <w:numPr>
          <w:ilvl w:val="1"/>
          <w:numId w:val="2"/>
        </w:numPr>
        <w:spacing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Cuando la resolución adoptada sea favorable, si el alumno o la alumna dispone de una nueva convocatoria para el módulo de FCT en el mismo curso académico, el equipo docente podrá decidir si las horas efectuadas hasta el momento de la concesión de la renuncia a la convocatoria, con un mínimo de 100, le son contabilizadas como realizadas y, en consecuencia, sólo tendría que realizar las horas que faltan hasta completar las asignadas a este módulo profesional.</w:t>
      </w:r>
    </w:p>
    <w:p w:rsidR="00000000" w:rsidDel="00000000" w:rsidP="00000000" w:rsidRDefault="00000000" w:rsidRPr="00000000" w14:paraId="0000001D">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Calibri" w:cs="Calibri" w:eastAsia="Calibri" w:hAnsi="Calibri"/>
          <w:color w:val="666666"/>
          <w:sz w:val="22"/>
          <w:szCs w:val="22"/>
          <w:shd w:fill="auto" w:val="clear"/>
        </w:rPr>
        <w:drawing>
          <wp:inline distB="114300" distT="114300" distL="114300" distR="114300">
            <wp:extent cx="190500" cy="190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Anulación de matrícula</w:t>
      </w:r>
      <w:r w:rsidDel="00000000" w:rsidR="00000000" w:rsidRPr="00000000">
        <w:rPr>
          <w:rtl w:val="0"/>
        </w:rPr>
      </w:r>
    </w:p>
    <w:p w:rsidR="00000000" w:rsidDel="00000000" w:rsidP="00000000" w:rsidRDefault="00000000" w:rsidRPr="00000000" w14:paraId="0000001E">
      <w:pPr>
        <w:pageBreakBefore w:val="0"/>
        <w:widowControl w:val="0"/>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Extraído de Instrucciones inicio de curso 21/22, artículo 10:</w:t>
      </w:r>
    </w:p>
    <w:p w:rsidR="00000000" w:rsidDel="00000000" w:rsidP="00000000" w:rsidRDefault="00000000" w:rsidRPr="00000000" w14:paraId="00000020">
      <w:pPr>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u w:val="single"/>
          <w:shd w:fill="auto" w:val="clear"/>
          <w:rtl w:val="0"/>
        </w:rPr>
        <w:t xml:space="preserve">Las solicitudes de anulación de matrícula se tendrán que presentar con una antelación de al menos dos meses antes del final del periodo lectivo.</w:t>
      </w:r>
    </w:p>
    <w:p w:rsidR="00000000" w:rsidDel="00000000" w:rsidP="00000000" w:rsidRDefault="00000000" w:rsidRPr="00000000" w14:paraId="00000021">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alumno o la alumna cuya matrícula sea anulada perderá la condición de alumno o alumna; en consecuencia, no será incluido o incluida en las actas de evaluación final.</w:t>
      </w:r>
    </w:p>
    <w:p w:rsidR="00000000" w:rsidDel="00000000" w:rsidP="00000000" w:rsidRDefault="00000000" w:rsidRPr="00000000" w14:paraId="00000022">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anulación de matrícula equivale a no haberse matriculado nunca, sin contar ni convocatoria ni matriculación, pero también sin los derechos adquiridos por ser alumno.</w:t>
      </w:r>
    </w:p>
    <w:p w:rsidR="00000000" w:rsidDel="00000000" w:rsidP="00000000" w:rsidRDefault="00000000" w:rsidRPr="00000000" w14:paraId="00000023">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la modalidad presencial, la anulación implica anular todo el curso.</w:t>
      </w:r>
    </w:p>
    <w:p w:rsidR="00000000" w:rsidDel="00000000" w:rsidP="00000000" w:rsidRDefault="00000000" w:rsidRPr="00000000" w14:paraId="00000024">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la modalidad semipresencial o a distancia, la anulación se puede realizar o bien de todo el curso, o bien individualmente a nivel de módulo.</w:t>
      </w:r>
    </w:p>
    <w:p w:rsidR="00000000" w:rsidDel="00000000" w:rsidP="00000000" w:rsidRDefault="00000000" w:rsidRPr="00000000" w14:paraId="00000025">
      <w:pPr>
        <w:pageBreakBefore w:val="0"/>
        <w:numPr>
          <w:ilvl w:val="1"/>
          <w:numId w:val="1"/>
        </w:numPr>
        <w:spacing w:before="0" w:beforeAutospacing="0"/>
        <w:ind w:left="144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En semipresencial, suele ser recomendable la anulación de matrícula (consulta tutor/a para contexto).</w:t>
      </w:r>
    </w:p>
    <w:sectPr>
      <w:headerReference r:id="rId7" w:type="default"/>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db7ed"/>
        <w:sz w:val="40"/>
        <w:szCs w:val="40"/>
        <w:u w:val="none"/>
        <w:shd w:fill="auto" w:val="clear"/>
        <w:vertAlign w:val="baseline"/>
      </w:rPr>
    </w:pPr>
    <w:r w:rsidDel="00000000" w:rsidR="00000000" w:rsidRPr="00000000">
      <w:rPr>
        <w:rFonts w:ascii="Calibri" w:cs="Calibri" w:eastAsia="Calibri" w:hAnsi="Calibri"/>
        <w:b w:val="0"/>
        <w:color w:val="666666"/>
        <w:sz w:val="22"/>
        <w:szCs w:val="22"/>
      </w:rPr>
      <w:drawing>
        <wp:inline distB="114300" distT="114300" distL="114300" distR="114300">
          <wp:extent cx="395288" cy="3952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5288" cy="395288"/>
                  </a:xfrm>
                  <a:prstGeom prst="rect"/>
                  <a:ln/>
                </pic:spPr>
              </pic:pic>
            </a:graphicData>
          </a:graphic>
        </wp:inline>
      </w:drawing>
    </w:r>
    <w:r w:rsidDel="00000000" w:rsidR="00000000" w:rsidRPr="00000000">
      <w:rPr>
        <w:b w:val="0"/>
        <w:color w:val="0db7ed"/>
        <w:sz w:val="40"/>
        <w:szCs w:val="40"/>
        <w:rtl w:val="0"/>
      </w:rPr>
      <w:t xml:space="preserve">Convocatorias, renuncias y anulaciones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5934075</wp:posOffset>
          </wp:positionH>
          <wp:positionV relativeFrom="paragraph">
            <wp:posOffset>295275</wp:posOffset>
          </wp:positionV>
          <wp:extent cx="922564" cy="322898"/>
          <wp:effectExtent b="0" l="0" r="0" t="0"/>
          <wp:wrapSquare wrapText="bothSides" distB="57150" distT="57150" distL="57150" distR="5715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4d54"/>
        <w:sz w:val="18"/>
        <w:szCs w:val="18"/>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384d54"/>
        <w:sz w:val="18"/>
        <w:szCs w:val="18"/>
        <w:u w:val="none"/>
        <w:shd w:fill="auto" w:val="clear"/>
        <w:vertAlign w:val="baseline"/>
      </w:rPr>
    </w:pPr>
    <w:r w:rsidDel="00000000" w:rsidR="00000000" w:rsidRPr="00000000">
      <w:rPr>
        <w:color w:val="384d54"/>
        <w:sz w:val="18"/>
        <w:szCs w:val="18"/>
        <w:shd w:fill="auto" w:val="clear"/>
        <w:rtl w:val="0"/>
      </w:rPr>
      <w:t xml:space="preserve">Curso 2021/22 - </w:t>
    </w:r>
    <w:r w:rsidDel="00000000" w:rsidR="00000000" w:rsidRPr="00000000">
      <w:rPr>
        <w:color w:val="384d54"/>
        <w:sz w:val="18"/>
        <w:szCs w:val="18"/>
        <w:shd w:fill="auto" w:val="clear"/>
        <w:rtl w:val="0"/>
      </w:rPr>
      <w:t xml:space="preserve">Autor: Sergi García Barea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cc7a17"/>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highlight w:val="white"/>
        <w:lang w:val="es"/>
      </w:rPr>
    </w:rPrDefault>
    <w:pPrDefault>
      <w:pPr>
        <w:spacing w:after="90" w:before="90" w:line="276" w:lineRule="auto"/>
        <w:ind w:left="90" w:right="9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276" w:lineRule="auto"/>
      <w:ind w:left="0" w:right="0" w:firstLine="0"/>
      <w:jc w:val="left"/>
    </w:pPr>
    <w:rPr>
      <w:rFonts w:ascii="Verdana" w:cs="Verdana" w:eastAsia="Verdana" w:hAnsi="Verdana"/>
      <w:b w:val="1"/>
      <w:i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spacing w:after="225" w:before="225" w:line="276" w:lineRule="auto"/>
      <w:ind w:left="0" w:right="0" w:firstLine="0"/>
      <w:jc w:val="left"/>
    </w:pPr>
    <w:rPr>
      <w:rFonts w:ascii="Verdana" w:cs="Verdana" w:eastAsia="Verdana" w:hAnsi="Verdana"/>
      <w:b w:val="1"/>
      <w:i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240" w:before="240" w:line="276" w:lineRule="auto"/>
      <w:ind w:left="0" w:right="0" w:firstLine="0"/>
      <w:jc w:val="left"/>
    </w:pPr>
    <w:rPr>
      <w:rFonts w:ascii="Verdana" w:cs="Verdana" w:eastAsia="Verdana" w:hAnsi="Verdana"/>
      <w:b w:val="1"/>
      <w:i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255" w:before="255" w:line="276" w:lineRule="auto"/>
      <w:ind w:left="0" w:right="0" w:firstLine="0"/>
      <w:jc w:val="left"/>
    </w:pPr>
    <w:rPr>
      <w:rFonts w:ascii="Verdana" w:cs="Verdana" w:eastAsia="Verdana" w:hAnsi="Verdana"/>
      <w:b w:val="1"/>
      <w:i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spacing w:after="255" w:before="255" w:line="276" w:lineRule="auto"/>
      <w:ind w:left="0" w:right="0" w:firstLine="0"/>
      <w:jc w:val="left"/>
    </w:pPr>
    <w:rPr>
      <w:rFonts w:ascii="Verdana" w:cs="Verdana" w:eastAsia="Verdana" w:hAnsi="Verdana"/>
      <w:b w:val="1"/>
      <w:i w:val="0"/>
      <w:strike w:val="0"/>
      <w:color w:val="000000"/>
      <w:sz w:val="16"/>
      <w:szCs w:val="16"/>
      <w:u w:val="none"/>
      <w:shd w:fill="auto" w:val="clear"/>
      <w:vertAlign w:val="baseline"/>
    </w:rPr>
  </w:style>
  <w:style w:type="paragraph" w:styleId="Heading6">
    <w:name w:val="heading 6"/>
    <w:basedOn w:val="Normal"/>
    <w:next w:val="Normal"/>
    <w:pPr>
      <w:keepNext w:val="1"/>
      <w:keepLines w:val="1"/>
      <w:pageBreakBefore w:val="0"/>
      <w:spacing w:after="360" w:before="360" w:line="276" w:lineRule="auto"/>
      <w:ind w:left="0" w:right="0" w:firstLine="0"/>
      <w:jc w:val="left"/>
    </w:pPr>
    <w:rPr>
      <w:rFonts w:ascii="Verdana" w:cs="Verdana" w:eastAsia="Verdana" w:hAnsi="Verdana"/>
      <w:b w:val="1"/>
      <w:i w:val="0"/>
      <w:strike w:val="0"/>
      <w:color w:val="000000"/>
      <w:sz w:val="16"/>
      <w:szCs w:val="16"/>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