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Договір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shd w:fill="FFFF00" w:val="clear"/>
          <w:lang w:val="uk-UA"/>
        </w:rPr>
        <w:t>№ {contract_number}</w:t>
      </w:r>
    </w:p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color w:val="000000"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shd w:fill="FFFF00" w:val="clear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{from_date}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uk-UA"/>
        </w:rPr>
      </w:r>
    </w:p>
    <w:p>
      <w:pPr>
        <w:pStyle w:val="11"/>
        <w:ind w:firstLine="567" w:start="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  <w:highlight w:val="yellow"/>
          <w:lang w:val="uk-UA"/>
        </w:rPr>
        <w:t>{party_one}</w:t>
      </w:r>
      <w:r>
        <w:rPr>
          <w:rFonts w:cs="Calibri" w:ascii="Calibri" w:hAnsi="Calibri" w:asciiTheme="minorHAnsi" w:cstheme="minorHAnsi" w:hAnsiTheme="minorHAnsi"/>
          <w:b/>
          <w:color w:themeColor="text1" w:val="000000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shd w:fill="FFFFFF" w:val="clear"/>
          <w:lang w:val="uk-UA"/>
        </w:rPr>
        <w:t>- об’єднання співвласників інфраструктури об’єкта доступу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lang w:val="uk-UA"/>
        </w:rPr>
        <w:t xml:space="preserve">, що надалі іменується «Сторона 1», в особі голови правління </w:t>
      </w:r>
      <w:r>
        <w:rPr>
          <w:rFonts w:cs="Calibri" w:ascii="Calibri" w:hAnsi="Calibri" w:asciiTheme="minorHAnsi" w:cstheme="minorHAnsi" w:hAnsiTheme="minorHAnsi"/>
          <w:b/>
          <w:bCs/>
          <w:color w:val="auto"/>
          <w:sz w:val="22"/>
          <w:szCs w:val="22"/>
          <w:highlight w:val="yellow"/>
          <w:lang w:val="uk-UA"/>
        </w:rPr>
        <w:t>{genitive_name}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lang w:val="uk-UA"/>
        </w:rPr>
        <w:t xml:space="preserve">, що діє на підставі  Статуту, з однієї сторони, та </w:t>
      </w:r>
    </w:p>
    <w:p>
      <w:pPr>
        <w:pStyle w:val="11"/>
        <w:ind w:firstLine="567" w:start="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/>
          <w:b/>
          <w:color w:themeColor="text1" w:val="000000"/>
          <w:sz w:val="22"/>
          <w:szCs w:val="22"/>
          <w:shd w:fill="auto" w:val="clear"/>
          <w:lang w:val="uk-UA"/>
        </w:rPr>
        <w:t>ТОВ «ІНТРА.КОМ»</w:t>
      </w:r>
      <w:r>
        <w:rPr>
          <w:rFonts w:cs="Calibri" w:ascii="Calibri" w:hAnsi="Calibri"/>
          <w:color w:themeColor="text1" w:val="000000"/>
          <w:sz w:val="22"/>
          <w:szCs w:val="22"/>
          <w:shd w:fill="auto" w:val="clear"/>
          <w:lang w:val="uk-UA"/>
        </w:rPr>
        <w:t>,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lang w:val="uk-UA"/>
        </w:rPr>
        <w:t xml:space="preserve"> що надалі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іменується «Сторона 2», в особі директора </w:t>
      </w: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  <w:lang w:val="uk-UA"/>
        </w:rPr>
        <w:t>Казакова Андрія Володимировича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>
      <w:pPr>
        <w:pStyle w:val="11"/>
        <w:ind w:firstLine="567" w:start="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lang w:val="uk-UA"/>
        </w:rPr>
        <w:t>1. Предмет договору</w:t>
      </w:r>
    </w:p>
    <w:p>
      <w:pPr>
        <w:pStyle w:val="Normal"/>
        <w:numPr>
          <w:ilvl w:val="0"/>
          <w:numId w:val="0"/>
        </w:numPr>
        <w:ind w:firstLine="357" w:start="0"/>
        <w:jc w:val="both"/>
        <w:outlineLvl w:val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1.1 Сторона 2 замовляє та оплачує, а Сторона 1 надає право доступу до елементів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/>
        </w:rPr>
        <w:t>доступ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 xml:space="preserve">),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1.2. Елементами інфраструктури об’єкта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доступу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, якими користується Сторона 2 на підставі цього Договору, є будинок.</w:t>
      </w:r>
    </w:p>
    <w:p>
      <w:pPr>
        <w:pStyle w:val="Normal"/>
        <w:ind w:firstLine="360"/>
        <w:jc w:val="both"/>
        <w:rPr>
          <w:rStyle w:val="FontStyle13"/>
          <w:rFonts w:ascii="Calibri" w:hAnsi="Calibri" w:cs="Calibri" w:asciiTheme="minorHAnsi" w:cstheme="minorHAnsi" w:hAnsiTheme="minorHAnsi"/>
          <w:color w:val="000000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1.3. Стороні 2 надається доступ до будинку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 xml:space="preserve">, який знаходиться за адресою: </w:t>
      </w:r>
    </w:p>
    <w:p>
      <w:pPr>
        <w:pStyle w:val="Normal"/>
        <w:ind w:firstLine="360"/>
        <w:jc w:val="both"/>
        <w:rPr>
          <w:rStyle w:val="FontStyle13"/>
          <w:rFonts w:ascii="Calibri" w:hAnsi="Calibri" w:cs="Calibri" w:asciiTheme="minorHAnsi" w:cstheme="minorHAnsi" w:hAnsiTheme="minorHAnsi"/>
          <w:color w:themeColor="text1" w:val="000000"/>
          <w:szCs w:val="22"/>
          <w:lang w:val="uk-UA" w:eastAsia="uk-UA"/>
        </w:rPr>
      </w:pP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highlight w:val="yellow"/>
          <w:lang w:val="uk-UA" w:eastAsia="uk-UA"/>
        </w:rPr>
        <w:t xml:space="preserve">-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color w:val="000000"/>
          <w:szCs w:val="22"/>
          <w:highlight w:val="yellow"/>
          <w:lang w:val="uk-UA" w:eastAsia="uk-UA"/>
        </w:rPr>
        <w:t>м. {city}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color w:themeColor="text1" w:val="000000"/>
          <w:szCs w:val="22"/>
          <w:highlight w:val="yellow"/>
          <w:lang w:val="uk-UA" w:eastAsia="uk-UA"/>
        </w:rPr>
        <w:t xml:space="preserve">,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color w:themeColor="text1" w:val="000000"/>
          <w:sz w:val="22"/>
          <w:szCs w:val="22"/>
          <w:highlight w:val="yellow"/>
          <w:lang w:val="uk-UA" w:eastAsia="uk-UA"/>
        </w:rPr>
        <w:t>{address}</w:t>
      </w:r>
      <w:r>
        <w:rPr>
          <w:rStyle w:val="FontStyle13"/>
          <w:rFonts w:cs="Calibri" w:ascii="Calibri" w:hAnsi="Calibri" w:asciiTheme="minorHAnsi" w:cstheme="minorHAnsi" w:hAnsiTheme="minorHAnsi"/>
          <w:color w:themeColor="text1" w:val="000000"/>
          <w:szCs w:val="22"/>
          <w:highlight w:val="yellow"/>
          <w:lang w:val="uk-UA" w:eastAsia="uk-UA"/>
        </w:rPr>
        <w:t>.</w:t>
      </w:r>
    </w:p>
    <w:p>
      <w:pPr>
        <w:pStyle w:val="Normal"/>
        <w:ind w:firstLine="360"/>
        <w:jc w:val="both"/>
        <w:rPr>
          <w:rStyle w:val="FontStyle13"/>
          <w:rFonts w:ascii="Calibri" w:hAnsi="Calibri" w:cs="Calibri" w:asciiTheme="minorHAnsi" w:cstheme="minorHAnsi" w:hAnsiTheme="minorHAnsi"/>
          <w:color w:val="000000"/>
          <w:szCs w:val="22"/>
          <w:lang w:val="uk-UA" w:eastAsia="uk-UA"/>
        </w:rPr>
      </w:pP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 xml:space="preserve">1.4. Сторона 2 користується об’єктом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доступу</w:t>
      </w:r>
      <w:r>
        <w:rPr>
          <w:rStyle w:val="FontStyle13"/>
          <w:rFonts w:cs="Calibri" w:ascii="Calibri" w:hAnsi="Calibri" w:asciiTheme="minorHAnsi" w:cstheme="minorHAnsi" w:hAnsiTheme="minorHAnsi"/>
          <w:color w:themeColor="text2" w:val="1F497D"/>
          <w:szCs w:val="22"/>
          <w:lang w:val="uk-UA" w:eastAsia="uk-UA"/>
        </w:rPr>
        <w:t xml:space="preserve">,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згідно з </w:t>
      </w:r>
      <w:r>
        <w:rPr>
          <w:rStyle w:val="FontStyle13"/>
          <w:rFonts w:cs="Calibri" w:ascii="Calibri" w:hAnsi="Calibri" w:asciiTheme="minorHAnsi" w:cstheme="minorHAnsi" w:hAnsi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, наданих для доступу, який наведений у Додатку №1 цього Договору для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розміщення технічних засобів.</w:t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lang w:val="uk-UA"/>
        </w:rPr>
        <w:t>2. Вартість Доступу та порядок розрахунків</w:t>
      </w:r>
    </w:p>
    <w:p>
      <w:pPr>
        <w:pStyle w:val="Normal"/>
        <w:numPr>
          <w:ilvl w:val="0"/>
          <w:numId w:val="0"/>
        </w:numPr>
        <w:ind w:firstLine="360" w:start="0"/>
        <w:jc w:val="both"/>
        <w:outlineLvl w:val="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2.1 Вартість доступу за цим Договором (розмір щомісячної оплати)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–</w:t>
        <w:br/>
      </w:r>
      <w:r>
        <w:rPr>
          <w:rFonts w:cs="Calibri" w:ascii="Calibri" w:hAnsi="Calibri"/>
          <w:b/>
          <w:bCs/>
          <w:sz w:val="22"/>
          <w:szCs w:val="22"/>
          <w:shd w:fill="FFFF00" w:val="clear"/>
          <w:lang w:val="uk-UA"/>
        </w:rPr>
        <w:t>{price}</w:t>
      </w:r>
      <w:r>
        <w:rPr>
          <w:rFonts w:cs="Calibri" w:ascii="Calibri" w:hAnsi="Calibri"/>
          <w:b/>
          <w:sz w:val="22"/>
          <w:szCs w:val="22"/>
          <w:shd w:fill="FFFF00" w:val="clear"/>
          <w:lang w:val="uk-UA"/>
        </w:rPr>
        <w:t xml:space="preserve"> грн., {pennies} коп. ({price_text})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за місяць користування. </w:t>
      </w:r>
    </w:p>
    <w:p>
      <w:pPr>
        <w:pStyle w:val="Heading2"/>
        <w:ind w:firstLine="360"/>
        <w:jc w:val="both"/>
        <w:rPr>
          <w:rFonts w:ascii="Calibri" w:hAnsi="Calibri" w:cs="Calibri" w:asciiTheme="minorHAnsi" w:cstheme="minorHAnsi" w:hAnsiTheme="minorHAnsi"/>
          <w:b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sz w:val="22"/>
          <w:szCs w:val="22"/>
        </w:rPr>
        <w:t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u w:val="single"/>
          <w:lang w:val="uk-UA"/>
        </w:rPr>
        <w:t>Розрахунок розміру щомісячної плати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наведено у Додатку № 1 до Договору. 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color w:val="FF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FF0000"/>
          <w:sz w:val="22"/>
          <w:szCs w:val="22"/>
          <w:highlight w:val="yellow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2.2. Загальна сума Договору орієнтовно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lang w:val="uk-UA"/>
        </w:rPr>
        <w:t xml:space="preserve">складає </w:t>
      </w:r>
      <w:r>
        <w:rPr>
          <w:rFonts w:cs="Calibri" w:ascii="Calibri" w:hAnsi="Calibri"/>
          <w:color w:themeColor="text1" w:val="000000"/>
          <w:sz w:val="22"/>
          <w:szCs w:val="22"/>
          <w:shd w:fill="FFFF00" w:val="clear"/>
          <w:lang w:val="uk-UA"/>
        </w:rPr>
        <w:t>{total_price}</w:t>
      </w:r>
      <w:r>
        <w:rPr>
          <w:rFonts w:cs="Calibri" w:ascii="Calibri" w:hAnsi="Calibri"/>
          <w:sz w:val="22"/>
          <w:szCs w:val="22"/>
          <w:shd w:fill="FFFF00" w:val="clear"/>
          <w:lang w:val="uk-UA"/>
        </w:rPr>
        <w:t xml:space="preserve"> грн., {total_pennies} коп. ({total_price_text})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та остаточно буде визначена згідно актів надан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ня доступу та виставлених рахунків за цим Договором.</w:t>
      </w:r>
    </w:p>
    <w:p>
      <w:pPr>
        <w:pStyle w:val="Normal"/>
        <w:ind w:firstLine="360"/>
        <w:jc w:val="both"/>
        <w:rPr>
          <w:rFonts w:ascii="Calibri" w:hAnsi="Calibri" w:eastAsia="Times New Roman" w:cs="Calibri" w:asciiTheme="minorHAnsi" w:cstheme="minorHAnsi" w:hAnsiTheme="minorHAnsi"/>
          <w:color w:val="FF0000"/>
          <w:sz w:val="22"/>
          <w:szCs w:val="22"/>
          <w:lang w:val="uk-UA" w:eastAsia="uk-UA"/>
        </w:rPr>
      </w:pPr>
      <w:r>
        <w:rPr>
          <w:rFonts w:eastAsia="Times New Roman" w:cs="Calibri" w:ascii="Calibri" w:hAnsi="Calibri" w:asciiTheme="minorHAnsi" w:cstheme="minorHAnsi" w:hAnsiTheme="minorHAnsi"/>
          <w:color w:val="FF0000"/>
          <w:sz w:val="22"/>
          <w:szCs w:val="22"/>
          <w:highlight w:val="yellow"/>
          <w:lang w:val="uk-UA" w:eastAsia="uk-UA"/>
        </w:rPr>
        <w:t>Одноразова плата за період січень 2021 р. – грудень 2022 р. становить 3000 грн., 00 коп. (три тисячі гривень, 00 коп.)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2.3. 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2.4. Плата за Доступ до елементів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 інфраструктури об’єкта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за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поточний період здійснюється з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дати укладення Договору за поточний місяць. В подальшому, оплата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 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2.5. Плата за доступ здійснюється протягом строку дії Договору або до дати фактичного демонтажу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2.6. Оплата здійснюється у національній валюті України, шляхом безготівкового перерахування грошових коштів  на поточний рахунок Сторони 1, зазначений в рахунку.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2.7. До 10-го числа кожного місяця Сторона 1 надає Стороні 2: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- Акт приймання наданих послуг (2 примірника, по одному для кожної Сторони);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- Рахунок на оплату доступу.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2.8.  Розмір плати за доступ залежить від розміру мінімальної заробітної плати  і  може змінюватися згідно вимог чинного законодавства.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2.9. Зміна розміру щомісячної плати за доступ оформлюється Додатковою угодою до Договору з урахуванням п. 2.8. цього Договору.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2.10. 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2.11. Сторона 2 має право внести плату за увесь період календарного року, на підставі виставлених рахунків Сторони 1.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3. Права та обов’язки сторін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3.1. Сторона 1 має право:</w:t>
      </w:r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 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3.1.1. На вчасне отримання плати за доступ, згідно умов даного Договору.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0" w:name="n123"/>
      <w:bookmarkEnd w:id="0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3.1.2. 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1" w:name="n125"/>
      <w:bookmarkEnd w:id="1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3.1.3. Перевіряти хід виконання Стороною 2 робіт, відповідно до цього Договору;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3.1.4. 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 Договору;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3.1.5. Контролювати дотримання вимог охорони праці при проведені робіт, вимагати їхнього призупинення при виникненні небезпечних ситуацій.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b/>
          <w:sz w:val="22"/>
          <w:szCs w:val="22"/>
          <w:lang w:val="uk-UA"/>
        </w:rPr>
      </w:pPr>
      <w:bookmarkStart w:id="2" w:name="n131"/>
      <w:bookmarkEnd w:id="2"/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  <w:lang w:val="uk-UA"/>
        </w:rPr>
        <w:t>3.2. Сторона 1 зобов’язана:</w:t>
      </w:r>
    </w:p>
    <w:p>
      <w:pPr>
        <w:pStyle w:val="Normal"/>
        <w:ind w:firstLine="450"/>
        <w:jc w:val="both"/>
        <w:rPr>
          <w:rStyle w:val="FontStyle13"/>
          <w:rFonts w:ascii="Calibri" w:hAnsi="Calibri" w:cs="Calibri" w:asciiTheme="minorHAnsi" w:cstheme="minorHAnsi" w:hAnsiTheme="minorHAnsi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3.2.1. Повідомляти Сторону 2 про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не пізніше, ніж за десять робочих днів до початку проведення ремонту чи реконструкції.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3.2.2. 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color w:val="0070C0"/>
          <w:sz w:val="22"/>
          <w:szCs w:val="22"/>
          <w:lang w:val="uk-UA"/>
        </w:rPr>
      </w:pPr>
      <w:bookmarkStart w:id="3" w:name="n132"/>
      <w:bookmarkEnd w:id="3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3.2.3. 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4" w:name="n133"/>
      <w:bookmarkStart w:id="5" w:name="n135"/>
      <w:bookmarkStart w:id="6" w:name="n134"/>
      <w:bookmarkEnd w:id="4"/>
      <w:bookmarkEnd w:id="5"/>
      <w:bookmarkEnd w:id="6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3.2.4. Забезпечувати можливість електроживлення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bookmarkStart w:id="7" w:name="n136"/>
      <w:bookmarkEnd w:id="7"/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3.3 Сторона 2 має право: 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8" w:name="n141"/>
      <w:bookmarkEnd w:id="8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3.3.1. Після укладення Договору з доступу Сторона 2 має право: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9" w:name="n142"/>
      <w:bookmarkEnd w:id="9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1) на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0" w:name="n143"/>
      <w:bookmarkEnd w:id="10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2) на проведення робіт відповідно до Договору з доступу на елементах інфраструктури об’єкта доступу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1" w:name="n144"/>
      <w:bookmarkEnd w:id="11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3) 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2" w:name="n145"/>
      <w:bookmarkEnd w:id="12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4) на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5) на отримання інформації про:</w:t>
      </w:r>
    </w:p>
    <w:p>
      <w:pPr>
        <w:pStyle w:val="Normal"/>
        <w:ind w:firstLine="426"/>
        <w:jc w:val="both"/>
        <w:rPr>
          <w:rStyle w:val="FontStyle13"/>
          <w:rFonts w:ascii="Calibri" w:hAnsi="Calibri" w:cs="Calibri" w:asciiTheme="minorHAnsi" w:cstheme="minorHAnsi" w:hAnsiTheme="minorHAnsi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-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 w:eastAsia="uk-UA"/>
        </w:rPr>
        <w:t xml:space="preserve">-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виведення з експлуатації об’єкта доступу</w:t>
      </w:r>
      <w:r>
        <w:rPr>
          <w:rFonts w:cs="Calibri" w:ascii="Calibri" w:hAnsi="Calibri" w:asciiTheme="minorHAnsi" w:cstheme="minorHAnsi" w:hAnsiTheme="minorHAnsi"/>
          <w:color w:val="0070C0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або окремих його елементів;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b/>
          <w:sz w:val="22"/>
          <w:szCs w:val="22"/>
          <w:lang w:val="uk-UA"/>
        </w:rPr>
      </w:pPr>
      <w:bookmarkStart w:id="13" w:name="n146"/>
      <w:bookmarkEnd w:id="13"/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  <w:lang w:val="uk-UA"/>
        </w:rPr>
        <w:t>3.4. Сторона 2 зобов’язана: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4" w:name="n147"/>
      <w:bookmarkEnd w:id="14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3.4.1. Розміщувати свої технічні засоби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згідно рекомендацій Сторони 1.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3.4.2. Розміщувати на своїх технічних засобах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5" w:name="n150"/>
      <w:bookmarkEnd w:id="15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3.4.3. Не допускати самовільного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 на елементах інфраструктури об’єкта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доступу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.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2"/>
          <w:szCs w:val="22"/>
          <w:lang w:val="uk-UA"/>
        </w:rPr>
      </w:pPr>
      <w:bookmarkStart w:id="16" w:name="n151"/>
      <w:bookmarkEnd w:id="16"/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 xml:space="preserve">3.4.4. Своєчасно сплачувати плату за доступ до інфраструктури об’єкта 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доступу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.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3.5. 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4. Відповідальність сторін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4.1. 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4.2. 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4.3. Сторона не несе відповідальності за порушення даного Договору, якщо воно сталося не з її вини (умислу чи необережності).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4.4.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4.5. Відповідальність за технічний стан та експлуатацію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пристроїв, несе Сторона 2.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4.6. Сторона 2 несе повну матеріальну відповідальність за виконання вимог правил техніки  безпеки під час виконання монтажних робіт в об’єктах будівництва  своїми силами, а також відповідає за виконання цих правил у випадку виконання монтажних робіт Підрядником Сторони 2.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4.7. Сторона 1 не несе відповідальність за шкоду, заподіяну засобам </w:t>
      </w:r>
      <w:r>
        <w:rPr>
          <w:rStyle w:val="FontStyle13"/>
          <w:rFonts w:cs="Calibri" w:ascii="Calibri" w:hAnsi="Calibri" w:asciiTheme="minorHAnsi" w:cstheme="minorHAnsi" w:hAnsiTheme="minorHAnsi"/>
          <w:color w:val="000000"/>
          <w:szCs w:val="22"/>
          <w:lang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них мереж третіми особами.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4.8. 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4.9. Сторона 2 несе відповідальність за шкоду, заподіяну ним відносно елементів об’єктів будівництва.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4.10. У випадках не передбачених цим Договором, Сторони несуть відповідальність, передбачену чинним законодавством України.</w:t>
      </w:r>
    </w:p>
    <w:p>
      <w:pPr>
        <w:pStyle w:val="Normal"/>
        <w:numPr>
          <w:ilvl w:val="0"/>
          <w:numId w:val="1"/>
        </w:numPr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Особливі умови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5.1. Сторони не мають права передавати  третім особам права та обов’язки за цим Договором без взаємної письмової згоди.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5.2 Реорганізація (перетворення) однієї із Сторін не є підставою для розірвання цього Договору, або зміни його умов.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5.3. Сторона 1 не є платником податку.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5.4. Сторона 2 є платником податку на прибуток на загальних підставах.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5.5 У разі зміни місцезнаходження, банківських та інших реквізитів, 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numPr>
          <w:ilvl w:val="0"/>
          <w:numId w:val="1"/>
        </w:numPr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Порядок вирішення спорів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6.1. Всі спори між Сторонами вирішуються шляхом переговорів.  Спори між Сторонами з  питань, щодо яких не було досягнуто згоди, вирішуються відповідно до законодавства України в судовому порядку.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12"/>
        <w:widowControl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7. Строк дії та умови зміни, розірвання договору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7.1. Договір набуває чинності з моменту укладання та підписання цього Договору та діє по 31 грудня 202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ru-RU"/>
        </w:rPr>
        <w:t>4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року, а в частині розрахунків - до повного його виконання.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01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ru-RU"/>
        </w:rPr>
        <w:t>січня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 xml:space="preserve"> 2024 року.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7.2. 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 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7.3. Дія Договору припиняється: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- за згодою Сторін;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- у зв’язку із закінченням строку дії Договору;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- у разі розірвання Договору однією зі сторін внаслідок неналежного його виконання;  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- у разі наявності відповідного судового рішення.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eastAsia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eastAsia="uk-UA"/>
        </w:rPr>
        <w:t>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eastAsia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eastAsia="uk-UA"/>
        </w:rPr>
        <w:t>7.4. 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eastAsia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eastAsia="uk-UA"/>
        </w:rPr>
        <w:t>7.5. Реорганізація або зміна Сторони 1 не є підставою для зміни умов чи розірвання цього Договору.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7.6. Договір складений у двох оригінальних примірниках, які мають однакову юридичну силу, по одному примірнику для кожної із Сторін.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7.7. Всі зміни та доповнення до цього Договору здійснюються шляхом укладання додаткових угод до нього.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7.8. 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 </w:t>
      </w:r>
    </w:p>
    <w:p>
      <w:pPr>
        <w:pStyle w:val="Normal"/>
        <w:spacing w:lineRule="auto" w:line="12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numPr>
          <w:ilvl w:val="0"/>
          <w:numId w:val="2"/>
        </w:numPr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Форс – мажорні обставини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8.1. 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>
      <w:pPr>
        <w:pStyle w:val="BodyText"/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8.2. 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>
      <w:pPr>
        <w:pStyle w:val="BodyText"/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BodyText"/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BodyText"/>
        <w:tabs>
          <w:tab w:val="clear" w:pos="708"/>
          <w:tab w:val="left" w:pos="567" w:leader="none"/>
        </w:tabs>
        <w:spacing w:lineRule="auto" w:line="120" w:before="0" w:after="0"/>
        <w:ind w:firstLine="357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9. Застереження про конфіденційність</w:t>
      </w:r>
    </w:p>
    <w:p>
      <w:pPr>
        <w:pStyle w:val="BodyText"/>
        <w:tabs>
          <w:tab w:val="clear" w:pos="708"/>
          <w:tab w:val="left" w:pos="502" w:leader="none"/>
        </w:tabs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9.1. 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>
      <w:pPr>
        <w:pStyle w:val="BodyText"/>
        <w:tabs>
          <w:tab w:val="clear" w:pos="708"/>
          <w:tab w:val="left" w:pos="502" w:leader="none"/>
        </w:tabs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9.2. 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>
      <w:pPr>
        <w:pStyle w:val="BodyText"/>
        <w:tabs>
          <w:tab w:val="clear" w:pos="708"/>
          <w:tab w:val="left" w:pos="502" w:leader="none"/>
        </w:tabs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BodyText"/>
        <w:tabs>
          <w:tab w:val="clear" w:pos="708"/>
          <w:tab w:val="left" w:pos="502" w:leader="none"/>
        </w:tabs>
        <w:spacing w:lineRule="auto" w:line="120" w:before="0" w:after="0"/>
        <w:ind w:firstLine="357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12"/>
        <w:widowControl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10. Інші умови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10.1.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10.2. 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10.3. 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uk-UA"/>
        </w:rPr>
        <w:t>10.4. Всі відносини, що не врегульовані даним Договором, регулюються чинним законодавством України.</w:t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11. Додатки до договору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11.1. До цього Договору додаються: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11.1.2. Додаток № 1  Перелік елементів інфраструктури об'єктів будівництва, наданих для Доступу. Розрахунок розміру щомісячної оплати.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11.2. Усі додатки до Договору є його невід’ємними частинами.</w:t>
      </w:r>
    </w:p>
    <w:p>
      <w:pPr>
        <w:pStyle w:val="12"/>
        <w:spacing w:lineRule="auto" w:line="120"/>
        <w:ind w:firstLine="357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12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12. Відповідальні представники сторін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12.1. Для координації дій з виконання цього Договору Сторони призначають відповідальних представників: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12.1.1. Від Сторон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ru-RU"/>
        </w:rPr>
        <w:t>и 1 -</w:t>
      </w:r>
      <w:r>
        <w:rPr>
          <w:rFonts w:cs="Calibri" w:ascii="Calibri" w:hAnsi="Calibri" w:asciiTheme="minorHAnsi" w:cstheme="minorHAnsi" w:hAnsiTheme="minorHAnsi"/>
          <w:color w:val="FF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themeColor="text1" w:val="000000"/>
          <w:sz w:val="22"/>
          <w:szCs w:val="22"/>
          <w:highlight w:val="yellow"/>
        </w:rPr>
        <w:t>{person_party_one}, т. {person_party_one_phonenumber}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</w:rPr>
        <w:t>.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color w:themeColor="text1"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12.1.2. Від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ru-RU"/>
        </w:rPr>
        <w:t>Сторони 2 -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Бондаренко Сергій Васильович, т. 067-823-66-25.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13. Реквізити та підписи сторін</w:t>
      </w:r>
    </w:p>
    <w:tbl>
      <w:tblPr>
        <w:tblpPr w:vertAnchor="text" w:horzAnchor="margin" w:bottomFromText="200" w:leftFromText="180" w:rightFromText="180" w:tblpX="0" w:tblpY="125"/>
        <w:tblW w:w="1036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505"/>
        <w:gridCol w:w="4859"/>
      </w:tblGrid>
      <w:tr>
        <w:trPr>
          <w:trHeight w:val="4096" w:hRule="atLeast"/>
        </w:trPr>
        <w:tc>
          <w:tcPr>
            <w:tcW w:w="5505" w:type="dxa"/>
            <w:tcBorders/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themeColor="text1" w:val="000000"/>
                <w:sz w:val="22"/>
                <w:szCs w:val="22"/>
                <w:highlight w:val="yellow"/>
                <w:lang w:val="uk-UA"/>
              </w:rPr>
              <w:t>{party_one_short_name}</w:t>
            </w:r>
          </w:p>
          <w:p>
            <w:pPr>
              <w:pStyle w:val="Normal"/>
              <w:rPr>
                <w:rFonts w:ascii="Myriad pro;Tahoma;Geneva;hevetica;sans-serif" w:hAnsi="Myriad pro;Tahoma;Geneva;hevetica;sans-serif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caps w:val="false"/>
                <w:smallCaps w:val="false"/>
                <w:color w:themeColor="text1" w:val="000000"/>
                <w:spacing w:val="0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{bank_details}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__________________/{short_name}/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ind w:start="708"/>
              <w:rPr>
                <w:rFonts w:ascii="Calibri" w:hAnsi="Calibri" w:cs="Calibri" w:asciiTheme="minorHAnsi" w:cstheme="minorHAnsi" w:hAnsiTheme="minorHAnsi"/>
                <w:sz w:val="22"/>
                <w:szCs w:val="22"/>
                <w:vertAlign w:val="superscript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М.П.</w:t>
            </w:r>
          </w:p>
        </w:tc>
        <w:tc>
          <w:tcPr>
            <w:tcW w:w="4859" w:type="dxa"/>
            <w:tcBorders/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uk-UA"/>
              </w:rPr>
              <w:t>: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ТОВ «ІНТРА.КОМ»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ЄДРПОУ 36094444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IBAN UA623005280000026006000035468 в АТ "ОТП БАНК"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ІПН 360944404630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Директор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__________________/Андрій КАЗАКОВ/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ind w:start="708"/>
              <w:rPr>
                <w:rFonts w:ascii="Calibri" w:hAnsi="Calibri" w:cs="Calibri" w:asciiTheme="minorHAnsi" w:cstheme="minorHAnsi" w:hAnsiTheme="minorHAnsi"/>
                <w:sz w:val="22"/>
                <w:szCs w:val="22"/>
                <w:vertAlign w:val="superscript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М.П.</w:t>
            </w:r>
          </w:p>
        </w:tc>
      </w:tr>
    </w:tbl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Web"/>
        <w:tabs>
          <w:tab w:val="clear" w:pos="708"/>
          <w:tab w:val="left" w:pos="4441" w:leader="none"/>
          <w:tab w:val="center" w:pos="7426" w:leader="none"/>
        </w:tabs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Додаток № 1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 Договору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shd w:fill="FFFF00" w:val="clear"/>
          <w:lang w:val="uk-UA"/>
        </w:rPr>
        <w:t>№ {contract_number}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 {from_date}</w:t>
      </w:r>
    </w:p>
    <w:p>
      <w:pPr>
        <w:pStyle w:val="Normal"/>
        <w:rPr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lang w:val="uk-UA"/>
        </w:rPr>
        <w:t>м. {city}</w:t>
        <w:tab/>
        <w:tab/>
        <w:tab/>
        <w:tab/>
        <w:tab/>
        <w:tab/>
        <w:tab/>
        <w:tab/>
        <w:tab/>
        <w:t>{from_date}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/>
      </w:r>
    </w:p>
    <w:tbl>
      <w:tblPr>
        <w:tblW w:w="848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16"/>
        <w:gridCol w:w="2285"/>
        <w:gridCol w:w="993"/>
        <w:gridCol w:w="1432"/>
        <w:gridCol w:w="1561"/>
        <w:gridCol w:w="1700"/>
      </w:tblGrid>
      <w:tr>
        <w:trPr>
          <w:trHeight w:val="950" w:hRule="atLeast"/>
        </w:trPr>
        <w:tc>
          <w:tcPr>
            <w:tcW w:w="5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 xml:space="preserve">№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з/п</w:t>
            </w:r>
          </w:p>
        </w:tc>
        <w:tc>
          <w:tcPr>
            <w:tcW w:w="22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568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ТОВ «ІНТРА.КОМ»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</w:tr>
      <w:tr>
        <w:trPr>
          <w:trHeight w:val="545" w:hRule="atLeast"/>
        </w:trPr>
        <w:tc>
          <w:tcPr>
            <w:tcW w:w="5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228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5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1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дах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22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lang w:val="uk-UA"/>
              </w:rPr>
              <w:t>ні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u w:val="single"/>
          <w:lang w:val="uk-UA"/>
        </w:rPr>
      </w:pPr>
      <w:r>
        <w:rPr>
          <w:rFonts w:cs="Calibri" w:cstheme="minorHAnsi" w:ascii="Calibri" w:hAnsi="Calibri"/>
          <w:sz w:val="22"/>
          <w:szCs w:val="22"/>
          <w:u w:val="single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01.01.2024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7100,00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грн.</w:t>
      </w:r>
    </w:p>
    <w:tbl>
      <w:tblPr>
        <w:tblW w:w="918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63"/>
        <w:gridCol w:w="2130"/>
        <w:gridCol w:w="823"/>
        <w:gridCol w:w="992"/>
        <w:gridCol w:w="992"/>
        <w:gridCol w:w="851"/>
        <w:gridCol w:w="708"/>
        <w:gridCol w:w="708"/>
        <w:gridCol w:w="1417"/>
      </w:tblGrid>
      <w:tr>
        <w:trPr>
          <w:trHeight w:val="1076" w:hRule="atLeast"/>
        </w:trPr>
        <w:tc>
          <w:tcPr>
            <w:tcW w:w="5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 xml:space="preserve">№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з/п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Кіль-кість під’їз-дів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Кіль-кість   повер-хів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Кіль-кість квартир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Встановлений відсоток, % (залежно від кількості квартир Об’єкту)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Розмір плати за доступ до інфраструк-тури об’єкта (грн./місяць)</w:t>
            </w:r>
          </w:p>
        </w:tc>
      </w:tr>
      <w:tr>
        <w:trPr>
          <w:trHeight w:val="384" w:hRule="atLeast"/>
        </w:trPr>
        <w:tc>
          <w:tcPr>
            <w:tcW w:w="5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213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2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1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themeColor="text1" w:val="000000"/>
                <w:sz w:val="22"/>
                <w:szCs w:val="22"/>
                <w:highlight w:val="yellow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color w:themeColor="text1" w:val="000000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8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142,00</w:t>
            </w:r>
          </w:p>
        </w:tc>
      </w:tr>
    </w:tbl>
    <w:p>
      <w:pPr>
        <w:pStyle w:val="Normal"/>
        <w:ind w:firstLine="709"/>
        <w:jc w:val="both"/>
        <w:textAlignment w:val="baseline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pPr w:vertAnchor="text" w:horzAnchor="margin" w:bottomFromText="200" w:leftFromText="180" w:rightFromText="180" w:tblpX="0" w:tblpY="125"/>
        <w:tblW w:w="1036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445"/>
        <w:gridCol w:w="4919"/>
      </w:tblGrid>
      <w:tr>
        <w:trPr>
          <w:trHeight w:val="4096" w:hRule="atLeast"/>
        </w:trPr>
        <w:tc>
          <w:tcPr>
            <w:tcW w:w="5445" w:type="dxa"/>
            <w:tcBorders/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themeColor="text1" w:val="000000"/>
                <w:sz w:val="22"/>
                <w:szCs w:val="22"/>
                <w:highlight w:val="yellow"/>
                <w:lang w:val="uk-UA"/>
              </w:rPr>
              <w:t>{party_one_short_name}</w:t>
            </w:r>
          </w:p>
          <w:p>
            <w:pPr>
              <w:pStyle w:val="Normal"/>
              <w:rPr>
                <w:rFonts w:ascii="Myriad pro;Tahoma;Geneva;hevetica;sans-serif" w:hAnsi="Myriad pro;Tahoma;Geneva;hevetica;sans-serif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caps w:val="false"/>
                <w:smallCaps w:val="false"/>
                <w:color w:themeColor="text1" w:val="000000"/>
                <w:spacing w:val="0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{bank_details}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__________________/{short_name}/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ind w:start="708"/>
              <w:rPr>
                <w:rFonts w:ascii="Calibri" w:hAnsi="Calibri" w:cs="Calibri" w:asciiTheme="minorHAnsi" w:cstheme="minorHAnsi" w:hAnsiTheme="minorHAnsi"/>
                <w:sz w:val="22"/>
                <w:szCs w:val="22"/>
                <w:vertAlign w:val="superscript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themeColor="text1" w:val="000000"/>
                <w:sz w:val="22"/>
                <w:szCs w:val="22"/>
                <w:highlight w:val="yellow"/>
                <w:lang w:val="uk-UA" w:eastAsia="uk-UA"/>
              </w:rPr>
              <w:t>М.П.</w:t>
            </w:r>
          </w:p>
        </w:tc>
        <w:tc>
          <w:tcPr>
            <w:tcW w:w="4919" w:type="dxa"/>
            <w:tcBorders/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uk-UA"/>
              </w:rPr>
              <w:t>:</w:t>
            </w:r>
          </w:p>
          <w:p>
            <w:pPr>
              <w:pStyle w:val="Normal"/>
              <w:spacing w:lineRule="auto" w:line="259" w:beforeAutospacing="1" w:afterAutospacing="1"/>
              <w:contextualSpacing/>
              <w:jc w:val="both"/>
              <w:rPr>
                <w:rFonts w:ascii="Calibri" w:hAnsi="Calibri" w:eastAsia="Times New Roman" w:cs="Calibri" w:asciiTheme="minorHAnsi" w:cs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sz w:val="22"/>
                <w:szCs w:val="22"/>
                <w:lang w:eastAsia="en-US"/>
              </w:rPr>
              <w:t>ТОВ «ІНТРА.КОМ»</w:t>
            </w:r>
          </w:p>
          <w:p>
            <w:pPr>
              <w:pStyle w:val="Normal"/>
              <w:spacing w:lineRule="auto" w:line="259" w:beforeAutospacing="1" w:afterAutospacing="1"/>
              <w:contextualSpacing/>
              <w:rPr>
                <w:rFonts w:ascii="Calibri" w:hAnsi="Calibri" w:eastAsia="Times New Roman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Normal"/>
              <w:spacing w:lineRule="auto" w:line="259" w:beforeAutospacing="1" w:afterAutospacing="1"/>
              <w:contextualSpacing/>
              <w:rPr>
                <w:rFonts w:ascii="Calibri" w:hAnsi="Calibri" w:eastAsia="Times New Roman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ЄДРПОУ 36094444</w:t>
            </w:r>
          </w:p>
          <w:p>
            <w:pPr>
              <w:pStyle w:val="Normal"/>
              <w:spacing w:lineRule="auto" w:line="259" w:beforeAutospacing="1" w:afterAutospacing="1"/>
              <w:contextualSpacing/>
              <w:rPr>
                <w:rFonts w:ascii="Calibri" w:hAnsi="Calibri" w:eastAsia="Times New Roman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IBAN UA623005280000026006000035468</w:t>
            </w:r>
          </w:p>
          <w:p>
            <w:pPr>
              <w:pStyle w:val="Normal"/>
              <w:spacing w:before="0" w:after="0"/>
              <w:contextualSpacing/>
              <w:rPr>
                <w:rFonts w:ascii="Calibri" w:hAnsi="Calibri" w:eastAsia="Times New Roman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sz w:val="22"/>
                <w:szCs w:val="22"/>
                <w:lang w:eastAsia="en-US"/>
              </w:rPr>
              <w:t>в АТ "ОТП БАНК"</w:t>
            </w:r>
          </w:p>
          <w:p>
            <w:pPr>
              <w:pStyle w:val="Heading1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lang w:eastAsia="en-US"/>
              </w:rPr>
              <w:t>ІПН 360944404630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Директор</w:t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08"/>
                <w:tab w:val="left" w:pos="7167" w:leader="none"/>
              </w:tabs>
              <w:rPr>
                <w:rFonts w:ascii="Calibri" w:hAnsi="Calibri" w:cs="Calibri" w:asciiTheme="minorHAnsi" w:cstheme="minorHAnsi" w:hAnsiTheme="minorHAnsi"/>
                <w:sz w:val="22"/>
                <w:szCs w:val="22"/>
                <w:vertAlign w:val="superscript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__________________/Андрій КАЗАКОВ/</w:t>
            </w:r>
          </w:p>
          <w:p>
            <w:pPr>
              <w:pStyle w:val="Normal"/>
              <w:ind w:start="708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М. П.</w:t>
            </w:r>
          </w:p>
        </w:tc>
      </w:tr>
    </w:tbl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sectPr>
      <w:type w:val="nextPage"/>
      <w:pgSz w:w="11906" w:h="16838"/>
      <w:pgMar w:left="1134" w:right="566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yriad pro">
    <w:altName w:val="Tahoma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8"/>
      <w:numFmt w:val="decimal"/>
      <w:lvlText w:val="%1."/>
      <w:lvlJc w:val="start"/>
      <w:pPr>
        <w:tabs>
          <w:tab w:val="num" w:pos="0"/>
        </w:tabs>
        <w:ind w:start="108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6121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8b14e3"/>
    <w:pPr>
      <w:keepNext w:val="true"/>
      <w:tabs>
        <w:tab w:val="clear" w:pos="708"/>
        <w:tab w:val="left" w:pos="7167" w:leader="none"/>
      </w:tabs>
      <w:outlineLvl w:val="0"/>
    </w:pPr>
    <w:rPr>
      <w:b/>
      <w:sz w:val="22"/>
      <w:szCs w:val="22"/>
      <w:lang w:val="uk-UA"/>
    </w:rPr>
  </w:style>
  <w:style w:type="paragraph" w:styleId="Heading2">
    <w:name w:val="heading 2"/>
    <w:basedOn w:val="Normal"/>
    <w:next w:val="Normal"/>
    <w:link w:val="2"/>
    <w:qFormat/>
    <w:rsid w:val="00ac148e"/>
    <w:pPr>
      <w:keepNext w:val="true"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463c9b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styleId="Style11" w:customStyle="1">
    <w:name w:val="Основной текст Знак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styleId="FontStyle13" w:customStyle="1">
    <w:name w:val="Font Style13"/>
    <w:qFormat/>
    <w:rsid w:val="00ac148e"/>
    <w:rPr>
      <w:rFonts w:ascii="Times New Roman" w:hAnsi="Times New Roman"/>
      <w:sz w:val="22"/>
    </w:rPr>
  </w:style>
  <w:style w:type="character" w:styleId="3" w:customStyle="1">
    <w:name w:val="Заголовок 3 Знак"/>
    <w:semiHidden/>
    <w:qFormat/>
    <w:rsid w:val="00463c9b"/>
    <w:rPr>
      <w:rFonts w:ascii="Cambria" w:hAnsi="Cambria" w:eastAsia="Times New Roman" w:cs="Times New Roman"/>
      <w:b/>
      <w:bCs/>
      <w:sz w:val="26"/>
      <w:szCs w:val="26"/>
    </w:rPr>
  </w:style>
  <w:style w:type="character" w:styleId="InternetLink">
    <w:name w:val="Internet Link"/>
    <w:uiPriority w:val="99"/>
    <w:unhideWhenUsed/>
    <w:qFormat/>
    <w:rsid w:val="00b5572f"/>
    <w:rPr>
      <w:color w:val="0000FF"/>
      <w:u w:val="single"/>
    </w:rPr>
  </w:style>
  <w:style w:type="character" w:styleId="Style12" w:customStyle="1">
    <w:name w:val="Текст выноски Знак"/>
    <w:link w:val="BalloonText"/>
    <w:qFormat/>
    <w:rsid w:val="00f76099"/>
    <w:rPr>
      <w:rFonts w:ascii="Segoe UI" w:hAnsi="Segoe UI" w:cs="Segoe UI"/>
      <w:sz w:val="18"/>
      <w:szCs w:val="18"/>
    </w:rPr>
  </w:style>
  <w:style w:type="character" w:styleId="Style13" w:customStyle="1">
    <w:name w:val="Основной текст с отступом Знак"/>
    <w:basedOn w:val="DefaultParagraphFont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styleId="1" w:customStyle="1">
    <w:name w:val="Заголовок 1 Знак"/>
    <w:basedOn w:val="DefaultParagraphFont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rsid w:val="00ac148e"/>
    <w:pPr>
      <w:spacing w:before="0" w:after="120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  <w:style w:type="paragraph" w:styleId="11" w:customStyle="1">
    <w:name w:val="Абзац списка1"/>
    <w:basedOn w:val="Normal"/>
    <w:qFormat/>
    <w:rsid w:val="00ac148e"/>
    <w:pPr>
      <w:spacing w:before="0" w:after="0"/>
      <w:ind w:start="720"/>
      <w:contextualSpacing/>
    </w:pPr>
    <w:rPr/>
  </w:style>
  <w:style w:type="paragraph" w:styleId="NormalWeb">
    <w:name w:val="Normal (Web)"/>
    <w:basedOn w:val="Normal"/>
    <w:uiPriority w:val="99"/>
    <w:qFormat/>
    <w:rsid w:val="00ac148e"/>
    <w:pPr>
      <w:spacing w:beforeAutospacing="1" w:afterAutospacing="1"/>
    </w:pPr>
    <w:rPr/>
  </w:style>
  <w:style w:type="paragraph" w:styleId="12" w:customStyle="1">
    <w:name w:val="Обычный1"/>
    <w:uiPriority w:val="99"/>
    <w:qFormat/>
    <w:rsid w:val="00ac148e"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ru-RU" w:bidi="ar-SA"/>
    </w:rPr>
  </w:style>
  <w:style w:type="paragraph" w:styleId="21" w:customStyle="1">
    <w:name w:val="Без интервала2"/>
    <w:qFormat/>
    <w:rsid w:val="00ac148e"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uk-UA" w:bidi="ar-SA"/>
    </w:rPr>
  </w:style>
  <w:style w:type="paragraph" w:styleId="ListParagraph">
    <w:name w:val="List Paragraph"/>
    <w:basedOn w:val="Normal"/>
    <w:uiPriority w:val="34"/>
    <w:qFormat/>
    <w:rsid w:val="0034706c"/>
    <w:pPr>
      <w:spacing w:before="120" w:after="120"/>
      <w:ind w:firstLine="340" w:start="720" w:end="142"/>
      <w:contextualSpacing/>
      <w:jc w:val="both"/>
    </w:pPr>
    <w:rPr>
      <w:rFonts w:eastAsia="Times New Roman"/>
    </w:rPr>
  </w:style>
  <w:style w:type="paragraph" w:styleId="tj" w:customStyle="1">
    <w:name w:val="tj"/>
    <w:basedOn w:val="Normal"/>
    <w:qFormat/>
    <w:rsid w:val="00687f07"/>
    <w:pPr>
      <w:spacing w:beforeAutospacing="1" w:afterAutospacing="1"/>
    </w:pPr>
    <w:rPr>
      <w:rFonts w:eastAsia="Times New Roman"/>
    </w:rPr>
  </w:style>
  <w:style w:type="paragraph" w:styleId="BalloonText">
    <w:name w:val="Balloon Text"/>
    <w:basedOn w:val="Normal"/>
    <w:link w:val="Style12"/>
    <w:qFormat/>
    <w:rsid w:val="00f76099"/>
    <w:pPr/>
    <w:rPr>
      <w:rFonts w:ascii="Segoe UI" w:hAnsi="Segoe UI"/>
      <w:sz w:val="18"/>
      <w:szCs w:val="18"/>
    </w:rPr>
  </w:style>
  <w:style w:type="paragraph" w:styleId="NoSpacing">
    <w:name w:val="No Spacing"/>
    <w:uiPriority w:val="1"/>
    <w:qFormat/>
    <w:rsid w:val="000f044f"/>
    <w:pPr>
      <w:widowControl/>
      <w:suppressAutoHyphens w:val="true"/>
      <w:bidi w:val="0"/>
      <w:spacing w:before="0" w:after="0"/>
      <w:jc w:val="star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paragraph" w:styleId="BodyTextIndented">
    <w:name w:val="Body Text, Indented"/>
    <w:basedOn w:val="Normal"/>
    <w:link w:val="Style13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paragraph" w:styleId="Style16">
    <w:name w:val="Вміст рамки"/>
    <w:basedOn w:val="Normal"/>
    <w:qFormat/>
    <w:pPr/>
    <w:rPr/>
  </w:style>
  <w:style w:type="paragraph" w:styleId="Style17">
    <w:name w:val="Вміст таблиці"/>
    <w:basedOn w:val="Normal"/>
    <w:qFormat/>
    <w:pPr>
      <w:widowControl w:val="false"/>
      <w:suppressLineNumbers/>
    </w:pPr>
    <w:rPr/>
  </w:style>
  <w:style w:type="paragraph" w:styleId="Style18">
    <w:name w:val="Заголовок таблиці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LibreOffice/24.8.2.1$Linux_X86_64 LibreOffice_project/480$Build-1</Application>
  <AppVersion>15.0000</AppVersion>
  <Pages>6</Pages>
  <Words>2079</Words>
  <Characters>13643</Characters>
  <CharactersWithSpaces>15586</CharactersWithSpaces>
  <Paragraphs>183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2023-12-27T05:55:00Z</dcterms:created>
  <dc:creator>tetyana.tarasyuk</dc:creator>
  <dc:description/>
  <dc:language>uk-UA</dc:language>
  <cp:lastModifiedBy/>
  <cp:lastPrinted>2018-04-24T08:02:00Z</cp:lastPrinted>
  <dcterms:modified xsi:type="dcterms:W3CDTF">2024-10-26T20:45:00Z</dcterms:modified>
  <cp:revision>58</cp:revision>
  <dc:subject/>
  <dc:title>Типовий договір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