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708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Договір № {contract_number}</w:t>
      </w:r>
    </w:p>
    <w:p>
      <w:pPr>
        <w:pStyle w:val="Normal"/>
        <w:ind w:firstLine="708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 w:eastAsia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 w:eastAsia="uk-UA"/>
        </w:rPr>
        <w:t>з надання доступу до інфраструктури об’єкта будівництва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>м. {city}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ab/>
        <w:tab/>
        <w:tab/>
        <w:tab/>
        <w:tab/>
        <w:tab/>
        <w:tab/>
        <w:tab/>
        <w:tab/>
        <w:tab/>
      </w: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>{from_date} р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.</w:t>
      </w:r>
    </w:p>
    <w:p>
      <w:pPr>
        <w:pStyle w:val="Normal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11"/>
        <w:ind w:firstLine="567" w:left="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highlight w:val="yellow"/>
          <w:lang w:val="uk-UA"/>
        </w:rPr>
        <w:t>{party_one}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  <w:shd w:fill="auto" w:val="clear"/>
          <w:lang w:val="uk-UA"/>
        </w:rPr>
        <w:t>{for_osbb_zhbk}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, що надалі іменується «Сторона 1», в особі </w:t>
      </w: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>{genitive_person_position}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</w:t>
      </w: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>{genitive_name}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, що діє на підставі Статуту, з однієї сторони, та </w:t>
      </w:r>
    </w:p>
    <w:p>
      <w:pPr>
        <w:pStyle w:val="11"/>
        <w:ind w:firstLine="567" w:left="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ТОВ «ІНТРА.КОМ»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, що надалі іменується «Сторона 2», в особі директора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  <w:lang w:val="uk-UA"/>
        </w:rPr>
        <w:t>Казакова Андрія Володимировича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, що діє на підставі Статуту, з іншої сторони, а в подальшому разом іменуються «Сторони», уклали цей Договір про наступне:</w:t>
      </w:r>
    </w:p>
    <w:p>
      <w:pPr>
        <w:pStyle w:val="ListParagraph"/>
        <w:numPr>
          <w:ilvl w:val="0"/>
          <w:numId w:val="1"/>
        </w:numPr>
        <w:ind w:hanging="360" w:left="360" w:right="142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Предмет договору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Сторона 2 замовляє та оплачує, а Сторона 1 надає право доступу до елементів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 w:eastAsia="uk-UA"/>
        </w:rPr>
        <w:t xml:space="preserve"> інфраструктури об’єкта будівництва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для розміщення технічних засобів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 xml:space="preserve">електронних комунікацій (надалі –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/>
        </w:rPr>
        <w:t>доступ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 xml:space="preserve">),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з метою користування ними та забезпечення можливості надання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них послуг Стороною 2 і отримання таких послуг його споживачами.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Елементами інфраструктури об’єкта доступу, якими користується Сторона 2 на підставі цього Договору, є будинок.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Style w:val="FontStyle13"/>
          <w:rFonts w:ascii="Calibri" w:hAnsi="Calibri" w:cs="Calibri" w:asciiTheme="minorHAnsi" w:cstheme="minorHAnsi" w:hAnsiTheme="minorHAnsi"/>
          <w:b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Стороні 2 надається доступ до будинку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, який знаходиться за адресою:</w:t>
      </w:r>
    </w:p>
    <w:p>
      <w:pPr>
        <w:pStyle w:val="ListParagraph"/>
        <w:ind w:hanging="0" w:left="792" w:right="142"/>
        <w:rPr>
          <w:rStyle w:val="FontStyle13"/>
          <w:rFonts w:ascii="Calibri" w:hAnsi="Calibri" w:cs="Calibri" w:asciiTheme="minorHAnsi" w:cstheme="minorHAnsi" w:hAnsiTheme="minorHAnsi"/>
          <w:b/>
          <w:szCs w:val="22"/>
          <w:lang w:val="uk-UA"/>
        </w:rPr>
      </w:pP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 xml:space="preserve">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 xml:space="preserve">- </w:t>
      </w:r>
      <w:r>
        <w:rPr>
          <w:rStyle w:val="FontStyle13"/>
          <w:rFonts w:cs="Calibri" w:ascii="Calibri" w:hAnsi="Calibri" w:asciiTheme="minorHAnsi" w:cstheme="minorHAnsi" w:hAnsiTheme="minorHAnsi"/>
          <w:b/>
          <w:bCs/>
          <w:szCs w:val="22"/>
          <w:highlight w:val="yellow"/>
          <w:lang w:val="uk-UA" w:eastAsia="uk-UA"/>
        </w:rPr>
        <w:t>м. {city}, {address}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.</w:t>
      </w:r>
    </w:p>
    <w:p>
      <w:pPr>
        <w:pStyle w:val="ListParagraph"/>
        <w:ind w:hanging="0" w:left="792" w:right="142"/>
        <w:rPr>
          <w:rStyle w:val="FontStyle13"/>
          <w:rFonts w:ascii="Calibri" w:hAnsi="Calibri" w:cs="Calibri" w:asciiTheme="minorHAnsi" w:cstheme="minorHAnsi" w:hAnsiTheme="minorHAnsi"/>
          <w:b/>
          <w:szCs w:val="22"/>
          <w:lang w:val="uk-UA"/>
        </w:rPr>
      </w:pP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 xml:space="preserve">Сторона 2 користується об’єктом доступу, згідно з </w:t>
      </w:r>
      <w:r>
        <w:rPr>
          <w:rStyle w:val="FontStyle13"/>
          <w:rFonts w:cs="Calibri" w:ascii="Calibri" w:hAnsi="Calibri" w:asciiTheme="minorHAnsi" w:cstheme="minorHAnsi" w:hAnsiTheme="minorHAnsi"/>
          <w:b/>
          <w:szCs w:val="22"/>
          <w:u w:val="single"/>
          <w:lang w:val="uk-UA" w:eastAsia="uk-UA"/>
        </w:rPr>
        <w:t>переліком елементів інфраструктури об’єктів будівництва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, наданих для доступу, який наведений у Додатку №1 цього Договору для розміщення технічних засобів.</w:t>
      </w:r>
    </w:p>
    <w:p>
      <w:pPr>
        <w:pStyle w:val="ListParagraph"/>
        <w:numPr>
          <w:ilvl w:val="0"/>
          <w:numId w:val="1"/>
        </w:numPr>
        <w:ind w:hanging="360" w:left="360" w:right="142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Вартість Доступу та порядок розрахунків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Вартість доступу за цим Договором (розмір щомісячної оплати) становить –</w:t>
        <w:br/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  <w:highlight w:val="yellow"/>
          <w:lang w:val="uk-UA"/>
        </w:rPr>
        <w:t>{price} грн., {pennies} коп. ({price_text})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, за місяць користування.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 xml:space="preserve">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{including_electricity_cost}</w:t>
      </w:r>
    </w:p>
    <w:p>
      <w:pPr>
        <w:pStyle w:val="ListParagraph"/>
        <w:numPr>
          <w:ilvl w:val="3"/>
          <w:numId w:val="1"/>
        </w:numPr>
        <w:ind w:hanging="648" w:left="1728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highlight w:val="cyan"/>
          <w:lang w:val="uk-UA"/>
        </w:rPr>
        <w:t xml:space="preserve">Розрахунок розміру щомісячної плати здійснюється відповідно до ставок плати, розрахованих за діючою Методикою визначення плати за доступ до елементів інфраструктури об’єктів будівництва та їх кількості.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highlight w:val="cyan"/>
          <w:u w:val="single"/>
          <w:lang w:val="uk-UA"/>
        </w:rPr>
        <w:t>Розрахунок розміру щомісячної плати</w:t>
      </w:r>
      <w:r>
        <w:rPr>
          <w:rFonts w:cs="Calibri" w:ascii="Calibri" w:hAnsi="Calibri" w:asciiTheme="minorHAnsi" w:cstheme="minorHAnsi" w:hAnsiTheme="minorHAnsi"/>
          <w:sz w:val="22"/>
          <w:szCs w:val="22"/>
          <w:highlight w:val="cyan"/>
          <w:lang w:val="uk-UA"/>
        </w:rPr>
        <w:t xml:space="preserve"> наведено у Додатку № 1 до Договору.</w:t>
      </w:r>
    </w:p>
    <w:p>
      <w:pPr>
        <w:pStyle w:val="ListParagraph"/>
        <w:numPr>
          <w:ilvl w:val="3"/>
          <w:numId w:val="1"/>
        </w:numPr>
        <w:ind w:hanging="648" w:left="1728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highlight w:val="cyan"/>
          <w:lang w:val="uk-UA"/>
        </w:rPr>
        <w:t>Оплата за спожиту встановленими засобами електронних комунікацій Сторони 2 електроенергію здійснюється окремо на підставі наданих рахунків Сторони 1 щодо спожитого обсягу електроенергії обладнанням Сторони 2 потужністю 0,0055 кВт. Сторона 2 компенсує Стороні 1 щомісячні видатки на сплату спожитої обладнанням Сторони 2 електроенергії відповідно до діючого тарифу. За умови зміни розміру тарифу розмір відшкодування буде приведений у відповідність до змін.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Загальна сума Договору орієнтовно складає </w:t>
      </w: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>{total_price} грн., {total_pennies} коп. ({total_price_text})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, та остаточно буде визначена згідно актів надання доступу та виставлених рахунків за цим Договором.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Відповідно до ч. 8 ст. 17 ЗУ «Про доступ до об’єктів будівництва, транспорту, електроенергетики з метою розвитку телекомунікаційних мереж», розмір плати за доступ має бути сталим і не може змінюватися протягом одного року з дня укладення договору з доступу.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Плата за Доступ до елементів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 w:eastAsia="uk-UA"/>
        </w:rPr>
        <w:t xml:space="preserve"> інфраструктури об’єкта будівництва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за поточний період здійснюється з дати укладення Договору за поточний місяць. В подальшому, оплата за доступ до елементів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 w:eastAsia="uk-UA"/>
        </w:rPr>
        <w:t xml:space="preserve"> інфраструктури об’єкта будівництва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здійснюється Стороною 2 до кінця поточного місяця на основі рахунку, який надається Стороною 1 до 10-го числа поточного місяця. 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Плата за доступ здійснюється протягом строку дії Договору або до дати фактичного демонтажу елементів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 w:eastAsia="uk-UA"/>
        </w:rPr>
        <w:t xml:space="preserve"> інфраструктури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 w:eastAsia="uk-UA"/>
        </w:rPr>
        <w:t>них мереж, розміщених на об’єктах будівництва, визначених у Додатку № 1 до Договору.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Оплата здійснюється у національній валюті України, шляхом безготівкового перерахування грошових коштів на поточний рахунок Сторони 1, зазначений в рахунку.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До 10-го числа кожного місяця Сторона 1 надає Стороні 2:</w:t>
      </w:r>
    </w:p>
    <w:p>
      <w:pPr>
        <w:pStyle w:val="ListParagraph"/>
        <w:numPr>
          <w:ilvl w:val="3"/>
          <w:numId w:val="1"/>
        </w:numPr>
        <w:ind w:hanging="648" w:left="1728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Акт приймання наданих послуг (2 примірника, по одному для кожної Сторони);</w:t>
      </w:r>
    </w:p>
    <w:p>
      <w:pPr>
        <w:pStyle w:val="ListParagraph"/>
        <w:numPr>
          <w:ilvl w:val="3"/>
          <w:numId w:val="1"/>
        </w:numPr>
        <w:ind w:hanging="648" w:left="1728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Рахунок на оплату доступу.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>Розмір плати за доступ залежить від розміру мінімальної заробітної плати і може змінюватися згідно вимог чинного законодавства.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Зміна розміру щомісячної плати за доступ оформлюється Додатковою угодою до Договору.</w:t>
      </w:r>
    </w:p>
    <w:p>
      <w:pPr>
        <w:pStyle w:val="ListParagraph"/>
        <w:ind w:hanging="0" w:left="792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>З урахуванням п. 2.8. цього Договору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>Розрахунки за спожиту електроенергію здійснюється безпосередньо з енергопостачальною організацією за окремим Договором про постачання електроенергії.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Сторона 2 має право внести плату за увесь період календарного року, на підставі виставлених рахунків Сторони 1.</w:t>
      </w:r>
    </w:p>
    <w:p>
      <w:pPr>
        <w:pStyle w:val="ListParagraph"/>
        <w:numPr>
          <w:ilvl w:val="0"/>
          <w:numId w:val="1"/>
        </w:numPr>
        <w:ind w:hanging="360" w:left="360" w:right="142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Права та обов’язки сторін</w:t>
      </w:r>
    </w:p>
    <w:p>
      <w:pPr>
        <w:pStyle w:val="ListParagraph"/>
        <w:numPr>
          <w:ilvl w:val="1"/>
          <w:numId w:val="1"/>
        </w:numPr>
        <w:ind w:hanging="432" w:left="792" w:right="142"/>
        <w:jc w:val="left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 xml:space="preserve">Сторона 1 має право: </w:t>
      </w:r>
    </w:p>
    <w:p>
      <w:pPr>
        <w:pStyle w:val="ListParagraph"/>
        <w:numPr>
          <w:ilvl w:val="2"/>
          <w:numId w:val="1"/>
        </w:numPr>
        <w:ind w:hanging="504" w:left="1224" w:right="142"/>
        <w:jc w:val="left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На вчасне отримання плати за доступ, згідно умов даного Договору.</w:t>
      </w:r>
      <w:bookmarkStart w:id="0" w:name="n123"/>
      <w:bookmarkEnd w:id="0"/>
    </w:p>
    <w:p>
      <w:pPr>
        <w:pStyle w:val="ListParagraph"/>
        <w:numPr>
          <w:ilvl w:val="2"/>
          <w:numId w:val="1"/>
        </w:numPr>
        <w:ind w:hanging="504" w:left="1224" w:right="142"/>
        <w:jc w:val="left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На отримання інформації щодо термінів проведення монтажних та експлуатаційних робіт засобів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, зокрема робіт, пов’язаних з необхідністю здійснення відключення електричних мереж та/або нагляду персоналом Сторони 1.</w:t>
      </w:r>
      <w:bookmarkStart w:id="1" w:name="n125"/>
      <w:bookmarkEnd w:id="1"/>
    </w:p>
    <w:p>
      <w:pPr>
        <w:pStyle w:val="ListParagraph"/>
        <w:numPr>
          <w:ilvl w:val="2"/>
          <w:numId w:val="1"/>
        </w:numPr>
        <w:ind w:hanging="504" w:left="1224" w:right="142"/>
        <w:jc w:val="left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Перевіряти хід виконання Стороною 2 робіт, відповідно до цього Договору;</w:t>
      </w:r>
    </w:p>
    <w:p>
      <w:pPr>
        <w:pStyle w:val="ListParagraph"/>
        <w:numPr>
          <w:ilvl w:val="2"/>
          <w:numId w:val="1"/>
        </w:numPr>
        <w:ind w:hanging="504" w:left="1224" w:right="142"/>
        <w:jc w:val="left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Вимагати від Сторони 2 у порядку, встановленому цим Договором, усунення порушень, виявлених за результатами перевірки виконання робіт, що здійснюється відповідно до цього Договору;</w:t>
      </w:r>
    </w:p>
    <w:p>
      <w:pPr>
        <w:pStyle w:val="ListParagraph"/>
        <w:numPr>
          <w:ilvl w:val="2"/>
          <w:numId w:val="1"/>
        </w:numPr>
        <w:ind w:hanging="504" w:left="1224" w:right="142"/>
        <w:jc w:val="left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Контролювати дотримання вимог охорони праці при проведені робіт, вимагати їхнього призупинення при виникненні небезпечних ситуацій.</w:t>
      </w:r>
      <w:bookmarkStart w:id="2" w:name="n131"/>
      <w:bookmarkEnd w:id="2"/>
    </w:p>
    <w:p>
      <w:pPr>
        <w:pStyle w:val="ListParagraph"/>
        <w:numPr>
          <w:ilvl w:val="1"/>
          <w:numId w:val="1"/>
        </w:numPr>
        <w:ind w:hanging="432" w:left="792" w:right="142"/>
        <w:jc w:val="left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Сторона 1 зобов’язана:</w:t>
      </w:r>
    </w:p>
    <w:p>
      <w:pPr>
        <w:pStyle w:val="ListParagraph"/>
        <w:numPr>
          <w:ilvl w:val="2"/>
          <w:numId w:val="1"/>
        </w:numPr>
        <w:ind w:hanging="504" w:left="1224" w:right="142"/>
        <w:jc w:val="left"/>
        <w:rPr>
          <w:rStyle w:val="FontStyle13"/>
          <w:rFonts w:ascii="Calibri" w:hAnsi="Calibri" w:cs="Calibri" w:asciiTheme="minorHAnsi" w:cstheme="minorHAnsi" w:hAnsiTheme="minorHAnsi"/>
          <w:b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Повідомляти Сторону 2 про проведення капітального ремонту чи реконструкції елементів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 w:eastAsia="uk-UA"/>
        </w:rPr>
        <w:t xml:space="preserve"> інфраструктури об’єкта будівництва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 xml:space="preserve">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з розміщеними технічними засобами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 не пізніше, ніж за десять робочих днів до початку проведення ремонту чи реконструкції.</w:t>
      </w:r>
    </w:p>
    <w:p>
      <w:pPr>
        <w:pStyle w:val="ListParagraph"/>
        <w:numPr>
          <w:ilvl w:val="2"/>
          <w:numId w:val="1"/>
        </w:numPr>
        <w:ind w:hanging="504" w:left="1224" w:right="142"/>
        <w:jc w:val="left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Забезпечити Стороні 2 доступ до інформації щодо планів виконання робіт на об’єктах доступу, що потребують відключення від електричної енергії технічних засобів Сторони 2 або перемикання в електричних мережах.</w:t>
      </w:r>
      <w:bookmarkStart w:id="3" w:name="n132"/>
      <w:bookmarkEnd w:id="3"/>
    </w:p>
    <w:p>
      <w:pPr>
        <w:pStyle w:val="ListParagraph"/>
        <w:numPr>
          <w:ilvl w:val="2"/>
          <w:numId w:val="1"/>
        </w:numPr>
        <w:ind w:hanging="504" w:left="1224" w:right="142"/>
        <w:jc w:val="left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Надавати Стороні 2, відповідно до цього Договору, безперешкодний доступ до всіх технічних засобів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Сторони 2, розміщених на елементах інфраструктури об’єкта доступу;</w:t>
      </w:r>
      <w:bookmarkStart w:id="4" w:name="n135"/>
      <w:bookmarkStart w:id="5" w:name="n134"/>
      <w:bookmarkStart w:id="6" w:name="n133"/>
      <w:bookmarkEnd w:id="4"/>
      <w:bookmarkEnd w:id="5"/>
      <w:bookmarkEnd w:id="6"/>
    </w:p>
    <w:p>
      <w:pPr>
        <w:pStyle w:val="ListParagraph"/>
        <w:numPr>
          <w:ilvl w:val="2"/>
          <w:numId w:val="1"/>
        </w:numPr>
        <w:ind w:hanging="504" w:left="1224" w:right="142"/>
        <w:jc w:val="left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Забезпечувати можливість електроживлення технічних засобів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Сторони 2 або погоджувати приєднання технічних засобів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до електромереж, згідно із законодавством;</w:t>
      </w:r>
      <w:bookmarkStart w:id="7" w:name="n136"/>
      <w:bookmarkEnd w:id="7"/>
    </w:p>
    <w:p>
      <w:pPr>
        <w:pStyle w:val="ListParagraph"/>
        <w:numPr>
          <w:ilvl w:val="1"/>
          <w:numId w:val="1"/>
        </w:numPr>
        <w:ind w:hanging="432" w:left="792" w:right="142"/>
        <w:jc w:val="left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Сторона 2 має право:</w:t>
      </w:r>
    </w:p>
    <w:p>
      <w:pPr>
        <w:pStyle w:val="ListParagraph"/>
        <w:numPr>
          <w:ilvl w:val="2"/>
          <w:numId w:val="1"/>
        </w:numPr>
        <w:ind w:hanging="504" w:left="1224" w:right="142"/>
        <w:jc w:val="left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Після укладення Договору з доступу Сторона 2 має право:</w:t>
      </w:r>
    </w:p>
    <w:p>
      <w:pPr>
        <w:pStyle w:val="ListParagraph"/>
        <w:numPr>
          <w:ilvl w:val="0"/>
          <w:numId w:val="2"/>
        </w:numPr>
        <w:ind w:hanging="360" w:left="1584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bookmarkStart w:id="8" w:name="n142"/>
      <w:bookmarkEnd w:id="8"/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на безперешкодний доступ до всіх технічних засобів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Сторони 2, розміщених на елементах інфраструктури об’єкта доступу, відповідно до Договору з доступу;</w:t>
      </w:r>
      <w:bookmarkStart w:id="9" w:name="n143"/>
      <w:bookmarkEnd w:id="9"/>
    </w:p>
    <w:p>
      <w:pPr>
        <w:pStyle w:val="ListParagraph"/>
        <w:numPr>
          <w:ilvl w:val="0"/>
          <w:numId w:val="2"/>
        </w:numPr>
        <w:ind w:hanging="360" w:left="1584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на проведення робіт відповідно до Договору з доступу на елементах інфраструктури об’єкта доступу;</w:t>
      </w:r>
      <w:bookmarkStart w:id="10" w:name="n144"/>
      <w:bookmarkEnd w:id="10"/>
    </w:p>
    <w:p>
      <w:pPr>
        <w:pStyle w:val="ListParagraph"/>
        <w:numPr>
          <w:ilvl w:val="0"/>
          <w:numId w:val="2"/>
        </w:numPr>
        <w:ind w:hanging="360" w:left="1584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на отримання, згідно із законодавством, електроживлення для забезпечення функціонування технічних засобів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;</w:t>
      </w:r>
      <w:bookmarkStart w:id="11" w:name="n145"/>
      <w:bookmarkEnd w:id="11"/>
    </w:p>
    <w:p>
      <w:pPr>
        <w:pStyle w:val="ListParagraph"/>
        <w:numPr>
          <w:ilvl w:val="0"/>
          <w:numId w:val="2"/>
        </w:numPr>
        <w:ind w:hanging="360" w:left="1584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на приєднання технічних засобів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до електромереж, згідно із законодавством;</w:t>
      </w:r>
    </w:p>
    <w:p>
      <w:pPr>
        <w:pStyle w:val="ListParagraph"/>
        <w:numPr>
          <w:ilvl w:val="0"/>
          <w:numId w:val="2"/>
        </w:numPr>
        <w:ind w:hanging="360" w:left="1584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на отримання інформації про:</w:t>
      </w:r>
    </w:p>
    <w:p>
      <w:pPr>
        <w:pStyle w:val="ListParagraph"/>
        <w:numPr>
          <w:ilvl w:val="1"/>
          <w:numId w:val="2"/>
        </w:numPr>
        <w:ind w:hanging="360" w:left="1944" w:right="142"/>
        <w:rPr>
          <w:rStyle w:val="FontStyle13"/>
          <w:rFonts w:ascii="Calibri" w:hAnsi="Calibri" w:cs="Calibri" w:asciiTheme="minorHAnsi" w:cstheme="minorHAnsi" w:hAnsiTheme="minorHAnsi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проведення капітального ремонту чи реконструкції елементів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 w:eastAsia="uk-UA"/>
        </w:rPr>
        <w:t xml:space="preserve"> інфраструктури об’єкта будівництва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 xml:space="preserve">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з розміщеними технічними засобами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комунікацій;</w:t>
      </w:r>
    </w:p>
    <w:p>
      <w:pPr>
        <w:pStyle w:val="ListParagraph"/>
        <w:numPr>
          <w:ilvl w:val="1"/>
          <w:numId w:val="2"/>
        </w:numPr>
        <w:ind w:hanging="360" w:left="1944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виведення з експлуатації об’єкта доступу або окремих його елементів;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Сторона 2 зобов’язана:</w:t>
      </w:r>
      <w:bookmarkStart w:id="12" w:name="n147"/>
      <w:bookmarkEnd w:id="12"/>
    </w:p>
    <w:p>
      <w:pPr>
        <w:pStyle w:val="ListParagraph"/>
        <w:numPr>
          <w:ilvl w:val="2"/>
          <w:numId w:val="1"/>
        </w:numPr>
        <w:ind w:hanging="504" w:left="1224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Розміщувати свої технічні засоби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згідно рекомендацій Сторони 1.</w:t>
      </w:r>
    </w:p>
    <w:p>
      <w:pPr>
        <w:pStyle w:val="ListParagraph"/>
        <w:numPr>
          <w:ilvl w:val="2"/>
          <w:numId w:val="1"/>
        </w:numPr>
        <w:ind w:hanging="504" w:left="1224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Розміщувати на своїх технічних засобах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на зручному для огляду місці відомості про Сторону 2 (найменування Сторони 2 та номер контактного телефону).</w:t>
      </w:r>
      <w:bookmarkStart w:id="13" w:name="n150"/>
      <w:bookmarkEnd w:id="13"/>
    </w:p>
    <w:p>
      <w:pPr>
        <w:pStyle w:val="ListParagraph"/>
        <w:numPr>
          <w:ilvl w:val="2"/>
          <w:numId w:val="1"/>
        </w:numPr>
        <w:ind w:hanging="504" w:left="1224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Не допускати самовільного розміщення технічних засобів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на елементах інфраструктури об’єкта доступу.</w:t>
      </w:r>
      <w:bookmarkStart w:id="14" w:name="n151"/>
      <w:bookmarkEnd w:id="14"/>
    </w:p>
    <w:p>
      <w:pPr>
        <w:pStyle w:val="ListParagraph"/>
        <w:numPr>
          <w:ilvl w:val="2"/>
          <w:numId w:val="1"/>
        </w:numPr>
        <w:ind w:hanging="504" w:left="1224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Своєчасно сплачувати плату за доступ до інфраструктури об’єкта доступу.</w:t>
      </w:r>
    </w:p>
    <w:p>
      <w:pPr>
        <w:pStyle w:val="ListParagraph"/>
        <w:numPr>
          <w:ilvl w:val="2"/>
          <w:numId w:val="1"/>
        </w:numPr>
        <w:ind w:hanging="504" w:left="1224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При виконанні цього Договору Сторони зобов’язуються дотримуватись нормативних актів, що регулюють правила техніки безпеки, охорону праці та охорону навколишнього середовища.</w:t>
      </w:r>
    </w:p>
    <w:p>
      <w:pPr>
        <w:pStyle w:val="ListParagraph"/>
        <w:numPr>
          <w:ilvl w:val="0"/>
          <w:numId w:val="1"/>
        </w:numPr>
        <w:ind w:hanging="360" w:left="360" w:right="142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Відповідальність сторін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У разі невиконання або неналежного виконання своїх зобов’язань за Договором, Сторони несуть відповідальність, передбачену чинним законодавством України та цим Договором.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Порушення Договору є його невиконання або неналежне виконання, тобто виконання з порушенням умов, визначених змістом даного Договору. 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Сторона не несе відповідальності за порушення даного Договору, якщо воно сталося не з її вини (умислу чи необережності).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Сторона вважається невинуватою і не несе відповідальності за порушення Договору, якщо вона доведе, що вжила всіх залежних від неї заходів щодо належного виконання даного Договору.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Відповідальність за технічний стан та експлуатацію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 xml:space="preserve">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засобів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них мереж і пристроїв, що належать до цих засобів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них пристроїв, несе Сторона 2.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Сторона 2 несе повну матеріальну відповідальність за виконання вимог правил техніки безпеки під час виконання монтажних робіт в об’єктах будівництва своїми силами, а також відповідає за виконання цих правил у випадку виконання монтажних робіт Підрядником Сторони 2.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Сторона 1 не несе відповідальність за шкоду, заподіяну засобам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них мереж третіми особами.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Сторони не несуть відповідальність у випадках пошкоджень, спричинених стихійними явищами та іншими обставинами непереборної сили.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Сторона 2 несе відповідальність за шкоду, заподіяну ним відносно елементів об’єктів будівництва.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У випадках не передбачених цим Договором, Сторони несуть відповідальність, передбачену чинним законодавством України.</w:t>
      </w:r>
    </w:p>
    <w:p>
      <w:pPr>
        <w:pStyle w:val="ListParagraph"/>
        <w:numPr>
          <w:ilvl w:val="0"/>
          <w:numId w:val="1"/>
        </w:numPr>
        <w:ind w:hanging="360" w:left="360" w:right="142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Особливі умови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Сторони не мають права передавати третім особам права та обов’язки за цим Договором без взаємної письмової згоди.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Реорганізація (перетворення) однієї із Сторін не є підставою для розірвання цього Договору, або зміни його умов.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>Сторона 1 не є платником податку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Сторона 2 є платником податку на прибуток на загальних підставах.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У разі зміни місцезнаходження, банківських та інших реквізитів, початку процедури реорганізації або ліквідації однією із Сторін, ця Сторона зобов’язується повідомити іншу Сторону про зміни протягом 10 (десяти) календарних днів з моменту настання відповідної події.</w:t>
      </w:r>
    </w:p>
    <w:p>
      <w:pPr>
        <w:pStyle w:val="ListParagraph"/>
        <w:numPr>
          <w:ilvl w:val="0"/>
          <w:numId w:val="1"/>
        </w:numPr>
        <w:ind w:hanging="360" w:left="360" w:right="142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Порядок вирішення спорів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Всі спори між Сторонами вирішуються шляхом переговорів. Спори між Сторонами з питань, щодо яких не було досягнуто згоди, вирішуються відповідно до законодавства України в судовому порядку.</w:t>
      </w:r>
    </w:p>
    <w:p>
      <w:pPr>
        <w:pStyle w:val="ListParagraph"/>
        <w:numPr>
          <w:ilvl w:val="0"/>
          <w:numId w:val="1"/>
        </w:numPr>
        <w:ind w:hanging="360" w:left="360" w:right="142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Строк дії та умови зміни, розірвання договору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Договір набуває чинності з моменту укладання та підписання цього Договору та діє по 31 грудня 2024 року, а в частині розрахунків - до повного його виконання.</w:t>
      </w:r>
    </w:p>
    <w:p>
      <w:pPr>
        <w:pStyle w:val="ListParagraph"/>
        <w:ind w:hanging="0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u w:val="single"/>
          <w:lang w:val="uk-UA"/>
        </w:rPr>
        <w:t xml:space="preserve">Відповідно до ч.3 ст. 631 Цивільного кодексу України, дія цього Договору застосовується до відносин між Сторонами, які виникли з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highlight w:val="yellow"/>
          <w:u w:val="single"/>
          <w:lang w:val="uk-UA"/>
        </w:rPr>
        <w:t>01 січня 2024 року.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Зміни та розірвання Договору можуть відбуватися за узгодженням Сторін. Усі зміни, додатки й доповнення до Договору дійсні у випадку, якщо вони оформлені в письмовій формі й підписані повноваженими представниками Сторін та скріплені печатками. (Умови цього пункту не стосуються пункту 7.8. цього Договору).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Дія Договору припиняється:</w:t>
      </w:r>
    </w:p>
    <w:p>
      <w:pPr>
        <w:pStyle w:val="ListParagraph"/>
        <w:numPr>
          <w:ilvl w:val="3"/>
          <w:numId w:val="1"/>
        </w:numPr>
        <w:ind w:hanging="648" w:left="1728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за згодою Сторін;</w:t>
      </w:r>
    </w:p>
    <w:p>
      <w:pPr>
        <w:pStyle w:val="ListParagraph"/>
        <w:numPr>
          <w:ilvl w:val="3"/>
          <w:numId w:val="1"/>
        </w:numPr>
        <w:ind w:hanging="648" w:left="1728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у зв’язку із закінченням строку дії Договору;</w:t>
      </w:r>
    </w:p>
    <w:p>
      <w:pPr>
        <w:pStyle w:val="ListParagraph"/>
        <w:numPr>
          <w:ilvl w:val="3"/>
          <w:numId w:val="1"/>
        </w:numPr>
        <w:ind w:hanging="648" w:left="1728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у разі розірвання Договору однією зі сторін внаслідок неналежного його виконання; </w:t>
      </w:r>
    </w:p>
    <w:p>
      <w:pPr>
        <w:pStyle w:val="ListParagraph"/>
        <w:numPr>
          <w:ilvl w:val="3"/>
          <w:numId w:val="1"/>
        </w:numPr>
        <w:ind w:hanging="648" w:left="1728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у разі наявності відповідного судового рішення.</w:t>
      </w:r>
    </w:p>
    <w:p>
      <w:pPr>
        <w:pStyle w:val="ListParagraph"/>
        <w:ind w:hanging="0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 w:eastAsia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Сторона, що ініціює розірвання Договору, повідомляє іншу Сторону про такі дії не пізніше ніж за 30 календарних днів до дати розірвання Договору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 w:eastAsia="uk-UA"/>
        </w:rPr>
        <w:t>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 w:eastAsia="uk-UA"/>
        </w:rPr>
        <w:t>У разі зміни власника Будинків до нового власника переходять права і обов’язки за цим Договором без стягнення із Сторони 2 додаткової плати.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 w:eastAsia="uk-UA"/>
        </w:rPr>
        <w:t>Реорганізація або зміна Сторони 1 не є підставою для зміни умов чи розірвання цього Договору.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Договір складений у двох оригінальних примірниках, які мають однакову юридичну силу, по одному примірнику для кожної із Сторін.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Всі зміни та доповнення до цього Договору здійснюються шляхом укладання додаткових угод до нього.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Договір вважається пролонгованим на кожен наступний рік, якщо за 1 (один) місяць до закінчення терміну дії договору жодною із Сторін не буде заявлено про припинення його дії, або перегляд його умов з обов’язковим наданням аргументів прийнятого рішення, відповідно до чинного законодавства.</w:t>
      </w:r>
    </w:p>
    <w:p>
      <w:pPr>
        <w:pStyle w:val="ListParagraph"/>
        <w:numPr>
          <w:ilvl w:val="0"/>
          <w:numId w:val="1"/>
        </w:numPr>
        <w:ind w:hanging="360" w:left="360" w:right="142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Форс – мажорні обставини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Сторона звільняється від визначеної цим Договором та/або чинним в Україні законодавством відповідальності за повне чи часткове порушення Договору, якщо вона доведе, що таке порушення сталося внаслідок дії обставин непереборної сили (форс-мажору), визначених у цьому Договорі, за умови, що їх настання було засвідчене у визначеному цим Договором порядку.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Настання обставин непереборної сили має бути засвідчено довідкою компетентного державного органу, що визначений чинним в Україні законодавством, або Торгово-промисловою палатою України.</w:t>
      </w:r>
    </w:p>
    <w:p>
      <w:pPr>
        <w:pStyle w:val="ListParagraph"/>
        <w:numPr>
          <w:ilvl w:val="0"/>
          <w:numId w:val="1"/>
        </w:numPr>
        <w:ind w:hanging="360" w:left="360" w:right="142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Застереження про конфіденційність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Сторони погодилися, що текст Договору, будь-які матеріали, інформація та відомості, які стосуються Договору, є конфіденційними і не можуть передаватися третім особам без попередньої письмової згоди іншої Сторони Договору.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Дане застереження не розповсюджується у випадку, коли передавання пов’язане з одержанням офіційних дозволів, документів для виконання договору або сплати податків, інших обов’язкових платежів, а також у випадках, передбачених чинним законодавствам, яке регулює зобов’язання Сторін Договору.</w:t>
      </w:r>
    </w:p>
    <w:p>
      <w:pPr>
        <w:pStyle w:val="ListParagraph"/>
        <w:numPr>
          <w:ilvl w:val="0"/>
          <w:numId w:val="1"/>
        </w:numPr>
        <w:ind w:hanging="360" w:left="360" w:right="142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Інші умови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Цей Договір складений при повному розумінні Сторонами його умов та термінології українською мовою у двох автентичних примірниках, які мають однакову юридичну силу, - по одному для кожної із Сторін.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Після підписання цього Договору усі попередні переговори, листування, попередні угоди та протоколи про наміри з питань, що так чи інакше стосуються цього Договору, втрачають юридичну силу.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Будь-який документ, оформлений у письмовій формі й підписаний уповноваженими представниками Сторін з метою належного виконання даного Договору є його невід’ємною частиною.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Всі відносини, що не врегульовані даним Договором, регулюються чинним законодавством України.</w:t>
      </w:r>
    </w:p>
    <w:p>
      <w:pPr>
        <w:pStyle w:val="ListParagraph"/>
        <w:numPr>
          <w:ilvl w:val="0"/>
          <w:numId w:val="1"/>
        </w:numPr>
        <w:ind w:hanging="360" w:left="360" w:right="142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Додатки до договору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До цього Договору додаються:</w:t>
      </w:r>
    </w:p>
    <w:p>
      <w:pPr>
        <w:pStyle w:val="ListParagraph"/>
        <w:numPr>
          <w:ilvl w:val="2"/>
          <w:numId w:val="1"/>
        </w:numPr>
        <w:ind w:hanging="504" w:left="1224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Додаток № 1</w:t>
      </w:r>
    </w:p>
    <w:p>
      <w:pPr>
        <w:pStyle w:val="ListParagraph"/>
        <w:numPr>
          <w:ilvl w:val="3"/>
          <w:numId w:val="1"/>
        </w:numPr>
        <w:ind w:hanging="648" w:left="1728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Перелік елементів інфраструктури об'єктів будівництва, наданих для Доступу.</w:t>
      </w:r>
    </w:p>
    <w:p>
      <w:pPr>
        <w:pStyle w:val="ListParagraph"/>
        <w:numPr>
          <w:ilvl w:val="3"/>
          <w:numId w:val="1"/>
        </w:numPr>
        <w:ind w:hanging="648" w:left="1728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>Розрахунок розміру щомісячної оплати.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Усі додатки до Договору є його невід’ємними частинами.</w:t>
      </w:r>
    </w:p>
    <w:p>
      <w:pPr>
        <w:pStyle w:val="ListParagraph"/>
        <w:numPr>
          <w:ilvl w:val="0"/>
          <w:numId w:val="1"/>
        </w:numPr>
        <w:ind w:hanging="360" w:left="360" w:right="142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Відповідальні представники сторін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Для координації дій з виконання цього Договору Сторони призначають відповідальних представників:</w:t>
      </w:r>
    </w:p>
    <w:p>
      <w:pPr>
        <w:pStyle w:val="ListParagraph"/>
        <w:numPr>
          <w:ilvl w:val="2"/>
          <w:numId w:val="1"/>
        </w:numPr>
        <w:ind w:hanging="504" w:left="1224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Від Сторони 1 - </w:t>
      </w: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>{person_party_one}, т. {person_party_one_phonenumber}.</w:t>
      </w:r>
    </w:p>
    <w:p>
      <w:pPr>
        <w:pStyle w:val="ListParagraph"/>
        <w:numPr>
          <w:ilvl w:val="2"/>
          <w:numId w:val="1"/>
        </w:numPr>
        <w:ind w:hanging="504" w:left="1224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Від Сторони 2 - Бондаренко Сергій Васильович, т. 067-823-66-25.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ListParagraph"/>
        <w:numPr>
          <w:ilvl w:val="0"/>
          <w:numId w:val="1"/>
        </w:numPr>
        <w:ind w:hanging="360" w:left="360" w:right="142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Реквізити та підписи сторін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cstheme="minorHAnsi" w:ascii="Calibri" w:hAnsi="Calibri"/>
          <w:b/>
          <w:sz w:val="22"/>
          <w:szCs w:val="22"/>
          <w:lang w:val="uk-UA"/>
        </w:rPr>
      </w:r>
    </w:p>
    <w:tbl>
      <w:tblPr>
        <w:tblStyle w:val="af1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13"/>
        <w:gridCol w:w="5208"/>
      </w:tblGrid>
      <w:tr>
        <w:trPr/>
        <w:tc>
          <w:tcPr>
            <w:tcW w:w="5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22"/>
                <w:szCs w:val="22"/>
                <w:lang w:val="uk-UA" w:eastAsia="uk-UA" w:bidi="ar-SA"/>
              </w:rPr>
              <w:t>СТОРОНА 1:</w:t>
            </w:r>
          </w:p>
        </w:tc>
        <w:tc>
          <w:tcPr>
            <w:tcW w:w="5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167" w:leader="none"/>
              </w:tabs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22"/>
                <w:szCs w:val="22"/>
                <w:lang w:val="uk-UA" w:eastAsia="uk-UA" w:bidi="ar-SA"/>
              </w:rPr>
              <w:t xml:space="preserve">СТОРОНА 2 </w:t>
            </w: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uk-UA" w:bidi="ar-SA"/>
              </w:rPr>
              <w:t>:</w:t>
            </w:r>
          </w:p>
        </w:tc>
      </w:tr>
      <w:tr>
        <w:trPr/>
        <w:tc>
          <w:tcPr>
            <w:tcW w:w="5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highlight w:val="yellow"/>
                <w:lang w:val="uk-UA" w:eastAsia="ru-RU" w:bidi="ar-SA"/>
              </w:rPr>
              <w:t>{party_one_short_name}</w:t>
            </w:r>
          </w:p>
        </w:tc>
        <w:tc>
          <w:tcPr>
            <w:tcW w:w="5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Heading1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lang w:eastAsia="ru-RU" w:bidi="ar-SA"/>
              </w:rPr>
              <w:t>ТОВ «ІНТРА.КОМ»</w:t>
            </w:r>
          </w:p>
        </w:tc>
      </w:tr>
      <w:tr>
        <w:trPr/>
        <w:tc>
          <w:tcPr>
            <w:tcW w:w="52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Myriad pro;Tahoma;Geneva;heveti" w:hAnsi="Myriad pro;Tahoma;Geneva;heveti"/>
                <w:sz w:val="20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highlight w:val="yellow"/>
                <w:lang w:val="uk-UA" w:eastAsia="ru-RU" w:bidi="ar-SA"/>
              </w:rPr>
              <w:t>Місцезнаходження: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highlight w:val="yellow"/>
                <w:lang w:val="uk-UA" w:eastAsia="ru-RU" w:bidi="ar-SA"/>
              </w:rPr>
              <w:t>{bank_details}</w:t>
            </w:r>
          </w:p>
        </w:tc>
        <w:tc>
          <w:tcPr>
            <w:tcW w:w="52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kern w:val="0"/>
                <w:lang w:eastAsia="ru-RU" w:bidi="ar-SA"/>
              </w:rPr>
              <w:t>юридична адреса: 49033, Дніпропетровська область, м. Дніпро, Шевченківський район, проспект Богдана Хмельницького, буд. 139, кімната № 336</w:t>
            </w:r>
          </w:p>
          <w:p>
            <w:pPr>
              <w:pStyle w:val="Heading1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kern w:val="0"/>
                <w:lang w:eastAsia="ru-RU" w:bidi="ar-SA"/>
              </w:rPr>
              <w:t>ЄДРПОУ 36094444</w:t>
            </w:r>
          </w:p>
          <w:p>
            <w:pPr>
              <w:pStyle w:val="Heading1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kern w:val="0"/>
                <w:lang w:eastAsia="ru-RU" w:bidi="ar-SA"/>
              </w:rPr>
              <w:t>IBAN UA623005280000026006000035468 в АТ "ОТП БАНК"</w:t>
            </w:r>
          </w:p>
          <w:p>
            <w:pPr>
              <w:pStyle w:val="Normal"/>
              <w:widowControl/>
              <w:tabs>
                <w:tab w:val="clear" w:pos="708"/>
                <w:tab w:val="left" w:pos="7167" w:leader="none"/>
              </w:tabs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ru-RU" w:bidi="ar-SA"/>
              </w:rPr>
              <w:t>ІПН 360944404630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cs="Calibri" w:cstheme="minorHAnsi" w:ascii="Calibri" w:hAnsi="Calibri"/>
                <w:b/>
                <w:sz w:val="22"/>
                <w:szCs w:val="22"/>
                <w:lang w:val="uk-UA"/>
              </w:rPr>
            </w:r>
          </w:p>
        </w:tc>
      </w:tr>
      <w:tr>
        <w:trPr>
          <w:trHeight w:val="147" w:hRule="atLeast"/>
        </w:trPr>
        <w:tc>
          <w:tcPr>
            <w:tcW w:w="5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highlight w:val="yellow"/>
                <w:lang w:val="uk-UA" w:eastAsia="ru-RU" w:bidi="ar-SA"/>
              </w:rPr>
              <w:t>{person_position}</w:t>
            </w:r>
          </w:p>
        </w:tc>
        <w:tc>
          <w:tcPr>
            <w:tcW w:w="5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167" w:leader="none"/>
              </w:tabs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ru-RU" w:bidi="ar-SA"/>
              </w:rPr>
              <w:t>Директор</w:t>
            </w:r>
          </w:p>
        </w:tc>
      </w:tr>
      <w:tr>
        <w:trPr>
          <w:trHeight w:val="1130" w:hRule="atLeast"/>
        </w:trPr>
        <w:tc>
          <w:tcPr>
            <w:tcW w:w="52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ru-RU" w:bidi="ar-SA"/>
              </w:rPr>
              <w:t>__________________/{short_name}/</w:t>
            </w:r>
          </w:p>
        </w:tc>
        <w:tc>
          <w:tcPr>
            <w:tcW w:w="5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ru-RU" w:bidi="ar-SA"/>
              </w:rPr>
              <w:t>__________________/Андрій КАЗАКОВ/</w:t>
            </w:r>
          </w:p>
        </w:tc>
      </w:tr>
      <w:tr>
        <w:trPr/>
        <w:tc>
          <w:tcPr>
            <w:tcW w:w="5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708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ru-RU" w:bidi="ar-SA"/>
              </w:rPr>
              <w:t>М.П.</w:t>
            </w:r>
          </w:p>
        </w:tc>
        <w:tc>
          <w:tcPr>
            <w:tcW w:w="5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708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ru-RU" w:bidi="ar-SA"/>
              </w:rPr>
              <w:t>М.П.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cstheme="minorHAnsi" w:ascii="Calibri" w:hAnsi="Calibri"/>
          <w:b/>
          <w:sz w:val="22"/>
          <w:szCs w:val="22"/>
          <w:lang w:val="uk-UA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Додаток № 1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 xml:space="preserve">до Договору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highlight w:val="yellow"/>
          <w:lang w:val="uk-UA"/>
        </w:rPr>
        <w:t>№ {contract_number}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 xml:space="preserve">від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highlight w:val="yellow"/>
          <w:lang w:val="uk-UA"/>
        </w:rPr>
        <w:t>{from_date} р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cstheme="minorHAnsi" w:ascii="Calibri" w:hAnsi="Calibri"/>
          <w:b/>
          <w:sz w:val="22"/>
          <w:szCs w:val="22"/>
          <w:lang w:val="uk-UA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Cs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  <w:highlight w:val="yellow"/>
          <w:lang w:val="uk-UA"/>
        </w:rPr>
        <w:t>м. {city}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  <w:lang w:val="uk-UA"/>
        </w:rPr>
        <w:tab/>
        <w:tab/>
        <w:tab/>
        <w:tab/>
        <w:tab/>
        <w:tab/>
        <w:tab/>
        <w:tab/>
        <w:tab/>
        <w:tab/>
      </w:r>
      <w:r>
        <w:rPr>
          <w:rFonts w:cs="Calibri" w:ascii="Calibri" w:hAnsi="Calibri" w:asciiTheme="minorHAnsi" w:cstheme="minorHAnsi" w:hAnsiTheme="minorHAnsi"/>
          <w:bCs/>
          <w:sz w:val="22"/>
          <w:szCs w:val="22"/>
          <w:highlight w:val="yellow"/>
          <w:lang w:val="uk-UA"/>
        </w:rPr>
        <w:t>{from_date} р.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u w:val="single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u w:val="single"/>
          <w:lang w:val="uk-UA"/>
        </w:rPr>
        <w:t>Перелік елементів інфраструктури об'єктів будівництва, наданих для Доступу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tbl>
      <w:tblPr>
        <w:tblW w:w="104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22"/>
        <w:gridCol w:w="5115"/>
        <w:gridCol w:w="1116"/>
        <w:gridCol w:w="1538"/>
        <w:gridCol w:w="1383"/>
        <w:gridCol w:w="647"/>
      </w:tblGrid>
      <w:tr>
        <w:trPr>
          <w:trHeight w:val="950" w:hRule="atLeast"/>
        </w:trPr>
        <w:tc>
          <w:tcPr>
            <w:tcW w:w="6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№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br/>
              <w:t>з/п</w:t>
            </w:r>
          </w:p>
        </w:tc>
        <w:tc>
          <w:tcPr>
            <w:tcW w:w="51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Адреса Об’єкту</w:t>
            </w:r>
          </w:p>
        </w:tc>
        <w:tc>
          <w:tcPr>
            <w:tcW w:w="46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Конструктивні елементи, які використані</w:t>
            </w:r>
          </w:p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ТОВ «ІНТРА.КОМ»</w:t>
            </w:r>
          </w:p>
        </w:tc>
      </w:tr>
      <w:tr>
        <w:trPr>
          <w:trHeight w:val="545" w:hRule="atLeast"/>
        </w:trPr>
        <w:tc>
          <w:tcPr>
            <w:tcW w:w="62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/>
              </w:rPr>
            </w:r>
          </w:p>
        </w:tc>
        <w:tc>
          <w:tcPr>
            <w:tcW w:w="51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/>
              </w:rPr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стіни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перегородки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перекриття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дах</w:t>
            </w:r>
          </w:p>
        </w:tc>
      </w:tr>
      <w:tr>
        <w:trPr/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1</w:t>
            </w:r>
          </w:p>
        </w:tc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highlight w:val="yellow"/>
                <w:lang w:val="uk-UA"/>
              </w:rPr>
              <w:t>м. {city}, {address}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так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так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так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ні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cstheme="minorHAnsi" w:ascii="Calibri" w:hAnsi="Calibri"/>
          <w:b/>
          <w:sz w:val="22"/>
          <w:szCs w:val="22"/>
          <w:lang w:val="uk-UA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cstheme="minorHAnsi" w:ascii="Calibri" w:hAnsi="Calibri"/>
          <w:b/>
          <w:sz w:val="22"/>
          <w:szCs w:val="22"/>
          <w:lang w:val="uk-UA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u w:val="single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u w:val="single"/>
          <w:lang w:val="uk-UA"/>
        </w:rPr>
        <w:t>Розрахунок розміру щомісячної оплати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2"/>
          <w:szCs w:val="22"/>
          <w:u w:val="single"/>
          <w:lang w:val="uk-UA"/>
        </w:rPr>
      </w:pPr>
      <w:r>
        <w:rPr>
          <w:rFonts w:cs="Calibri" w:cstheme="minorHAnsi" w:ascii="Calibri" w:hAnsi="Calibri"/>
          <w:sz w:val="22"/>
          <w:szCs w:val="22"/>
          <w:u w:val="single"/>
          <w:lang w:val="uk-UA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Мінімальна заробітна плата станом на </w:t>
      </w: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>01.01.2024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становить </w:t>
      </w: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>7100,00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грн.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tbl>
      <w:tblPr>
        <w:tblW w:w="1043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0"/>
        <w:gridCol w:w="3594"/>
        <w:gridCol w:w="706"/>
        <w:gridCol w:w="709"/>
        <w:gridCol w:w="712"/>
        <w:gridCol w:w="851"/>
        <w:gridCol w:w="708"/>
        <w:gridCol w:w="799"/>
        <w:gridCol w:w="1810"/>
      </w:tblGrid>
      <w:tr>
        <w:trPr>
          <w:trHeight w:val="1076" w:hRule="atLeast"/>
        </w:trPr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№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br/>
              <w:t>з/п</w:t>
            </w:r>
          </w:p>
        </w:tc>
        <w:tc>
          <w:tcPr>
            <w:tcW w:w="3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Адреса Об’єкту</w:t>
            </w:r>
          </w:p>
        </w:tc>
        <w:tc>
          <w:tcPr>
            <w:tcW w:w="7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ind w:left="113" w:right="113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Кількість під’їздів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ind w:left="113" w:right="113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Кількість поверхів</w:t>
            </w:r>
          </w:p>
        </w:tc>
        <w:tc>
          <w:tcPr>
            <w:tcW w:w="7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ind w:left="113" w:right="113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Кількість квартир</w:t>
            </w:r>
          </w:p>
        </w:tc>
        <w:tc>
          <w:tcPr>
            <w:tcW w:w="23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Встановлений відсоток</w:t>
              <w:br/>
              <w:t>%</w:t>
              <w:br/>
              <w:t>(залежно від кількості квартир Об’єкту)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Розмір плати за доступ до інфраструктури об’єкта</w:t>
              <w:br/>
              <w:t>(грн./місяць)</w:t>
            </w:r>
          </w:p>
        </w:tc>
      </w:tr>
      <w:tr>
        <w:trPr>
          <w:trHeight w:val="384" w:hRule="atLeast"/>
        </w:trPr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 w:eastAsia="en-US"/>
              </w:rPr>
            </w:r>
          </w:p>
        </w:tc>
        <w:tc>
          <w:tcPr>
            <w:tcW w:w="35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 w:eastAsia="en-US"/>
              </w:rPr>
            </w:r>
          </w:p>
        </w:tc>
        <w:tc>
          <w:tcPr>
            <w:tcW w:w="7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 w:eastAsia="en-US"/>
              </w:rPr>
            </w:r>
          </w:p>
        </w:tc>
        <w:tc>
          <w:tcPr>
            <w:tcW w:w="7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 w:eastAsia="en-US"/>
              </w:rPr>
            </w:r>
          </w:p>
        </w:tc>
        <w:tc>
          <w:tcPr>
            <w:tcW w:w="7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 w:eastAsia="en-US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2%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3%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5%</w:t>
            </w:r>
          </w:p>
        </w:tc>
        <w:tc>
          <w:tcPr>
            <w:tcW w:w="1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  <w:t>{price},{pennies}</w:t>
            </w:r>
          </w:p>
        </w:tc>
      </w:tr>
      <w:tr>
        <w:trPr/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highlight w:val="yellow"/>
                <w:lang w:val="uk-UA"/>
              </w:rPr>
              <w:t>м. {city}, {address}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  <w:t>5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  <w:t>69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  <w:t>2%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  <w:t>-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  <w:t>-</w:t>
            </w:r>
          </w:p>
        </w:tc>
        <w:tc>
          <w:tcPr>
            <w:tcW w:w="18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highlight w:val="yellow"/>
                <w:lang w:val="uk-UA" w:eastAsia="en-US"/>
              </w:rPr>
            </w:r>
          </w:p>
        </w:tc>
      </w:tr>
    </w:tbl>
    <w:p>
      <w:pPr>
        <w:pStyle w:val="Normal"/>
        <w:ind w:firstLine="709"/>
        <w:jc w:val="both"/>
        <w:textAlignment w:val="baseline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tbl>
      <w:tblPr>
        <w:tblStyle w:val="af1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13"/>
        <w:gridCol w:w="5208"/>
      </w:tblGrid>
      <w:tr>
        <w:trPr/>
        <w:tc>
          <w:tcPr>
            <w:tcW w:w="5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22"/>
                <w:szCs w:val="22"/>
                <w:lang w:val="uk-UA" w:eastAsia="uk-UA" w:bidi="ar-SA"/>
              </w:rPr>
              <w:t>СТОРОНА 1:</w:t>
            </w:r>
          </w:p>
        </w:tc>
        <w:tc>
          <w:tcPr>
            <w:tcW w:w="5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167" w:leader="none"/>
              </w:tabs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22"/>
                <w:szCs w:val="22"/>
                <w:lang w:val="uk-UA" w:eastAsia="uk-UA" w:bidi="ar-SA"/>
              </w:rPr>
              <w:t xml:space="preserve">СТОРОНА 2 </w:t>
            </w: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uk-UA" w:bidi="ar-SA"/>
              </w:rPr>
              <w:t>:</w:t>
            </w:r>
          </w:p>
        </w:tc>
      </w:tr>
      <w:tr>
        <w:trPr/>
        <w:tc>
          <w:tcPr>
            <w:tcW w:w="5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highlight w:val="yellow"/>
                <w:lang w:val="uk-UA" w:eastAsia="ru-RU" w:bidi="ar-SA"/>
              </w:rPr>
              <w:t>{party_one_short_name}</w:t>
            </w:r>
          </w:p>
        </w:tc>
        <w:tc>
          <w:tcPr>
            <w:tcW w:w="5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Heading1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lang w:eastAsia="ru-RU" w:bidi="ar-SA"/>
              </w:rPr>
              <w:t>ТОВ «ІНТРА.КОМ»</w:t>
            </w:r>
          </w:p>
        </w:tc>
      </w:tr>
      <w:tr>
        <w:trPr/>
        <w:tc>
          <w:tcPr>
            <w:tcW w:w="52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Myriad pro;Tahoma;Geneva;heveti" w:hAnsi="Myriad pro;Tahoma;Geneva;heveti"/>
                <w:sz w:val="20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highlight w:val="yellow"/>
                <w:lang w:val="uk-UA" w:eastAsia="ru-RU" w:bidi="ar-SA"/>
              </w:rPr>
              <w:t>Місцезнаходження: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highlight w:val="yellow"/>
                <w:lang w:val="uk-UA" w:eastAsia="ru-RU" w:bidi="ar-SA"/>
              </w:rPr>
              <w:t>{bank_details}</w:t>
            </w:r>
          </w:p>
        </w:tc>
        <w:tc>
          <w:tcPr>
            <w:tcW w:w="52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kern w:val="0"/>
                <w:lang w:eastAsia="ru-RU" w:bidi="ar-SA"/>
              </w:rPr>
              <w:t>юридична адреса: 49033, Дніпропетровська область, м. Дніпро, Шевченківський район, проспект Богдана Хмельницького, буд. 139, кімната № 336</w:t>
            </w:r>
          </w:p>
          <w:p>
            <w:pPr>
              <w:pStyle w:val="Heading1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kern w:val="0"/>
                <w:lang w:eastAsia="ru-RU" w:bidi="ar-SA"/>
              </w:rPr>
              <w:t>ЄДРПОУ 36094444</w:t>
            </w:r>
          </w:p>
          <w:p>
            <w:pPr>
              <w:pStyle w:val="Heading1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kern w:val="0"/>
                <w:lang w:eastAsia="ru-RU" w:bidi="ar-SA"/>
              </w:rPr>
              <w:t>IBAN UA623005280000026006000035468 в АТ "ОТП БАНК"</w:t>
            </w:r>
          </w:p>
          <w:p>
            <w:pPr>
              <w:pStyle w:val="Normal"/>
              <w:widowControl/>
              <w:tabs>
                <w:tab w:val="clear" w:pos="708"/>
                <w:tab w:val="left" w:pos="7167" w:leader="none"/>
              </w:tabs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ru-RU" w:bidi="ar-SA"/>
              </w:rPr>
              <w:t>ІПН 360944404630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cs="Calibri" w:cstheme="minorHAnsi" w:ascii="Calibri" w:hAnsi="Calibri"/>
                <w:b/>
                <w:sz w:val="22"/>
                <w:szCs w:val="22"/>
                <w:lang w:val="uk-UA"/>
              </w:rPr>
            </w:r>
          </w:p>
        </w:tc>
      </w:tr>
      <w:tr>
        <w:trPr>
          <w:trHeight w:val="147" w:hRule="atLeast"/>
        </w:trPr>
        <w:tc>
          <w:tcPr>
            <w:tcW w:w="5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highlight w:val="yellow"/>
                <w:lang w:val="uk-UA" w:eastAsia="ru-RU" w:bidi="ar-SA"/>
              </w:rPr>
              <w:t>{person_position}</w:t>
            </w:r>
          </w:p>
        </w:tc>
        <w:tc>
          <w:tcPr>
            <w:tcW w:w="5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167" w:leader="none"/>
              </w:tabs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ru-RU" w:bidi="ar-SA"/>
              </w:rPr>
              <w:t>Директор</w:t>
            </w:r>
          </w:p>
        </w:tc>
      </w:tr>
      <w:tr>
        <w:trPr>
          <w:trHeight w:val="1130" w:hRule="atLeast"/>
        </w:trPr>
        <w:tc>
          <w:tcPr>
            <w:tcW w:w="52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ru-RU" w:bidi="ar-SA"/>
              </w:rPr>
              <w:t>__________________/{short_name}/</w:t>
            </w:r>
          </w:p>
        </w:tc>
        <w:tc>
          <w:tcPr>
            <w:tcW w:w="5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ru-RU" w:bidi="ar-SA"/>
              </w:rPr>
              <w:t>__________________/Андрій КАЗАКОВ/</w:t>
            </w:r>
          </w:p>
        </w:tc>
      </w:tr>
      <w:tr>
        <w:trPr/>
        <w:tc>
          <w:tcPr>
            <w:tcW w:w="5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708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ru-RU" w:bidi="ar-SA"/>
              </w:rPr>
              <w:t>М.П.</w:t>
            </w:r>
          </w:p>
        </w:tc>
        <w:tc>
          <w:tcPr>
            <w:tcW w:w="5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708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ru-RU" w:bidi="ar-SA"/>
              </w:rPr>
              <w:t>М.П.</w:t>
            </w:r>
          </w:p>
        </w:tc>
      </w:tr>
    </w:tbl>
    <w:p>
      <w:pPr>
        <w:pStyle w:val="Normal"/>
        <w:tabs>
          <w:tab w:val="clear" w:pos="708"/>
          <w:tab w:val="left" w:pos="4441" w:leader="none"/>
          <w:tab w:val="center" w:pos="7426" w:leader="none"/>
        </w:tabs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cstheme="minorHAnsi" w:ascii="Calibri" w:hAnsi="Calibri"/>
          <w:b/>
          <w:sz w:val="22"/>
          <w:szCs w:val="22"/>
          <w:lang w:val="uk-UA"/>
        </w:rPr>
      </w:r>
    </w:p>
    <w:sectPr>
      <w:type w:val="nextPage"/>
      <w:pgSz w:w="11906" w:h="16838"/>
      <w:pgMar w:left="1134" w:right="566" w:gutter="0" w:header="0" w:top="567" w:footer="0" w:bottom="42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Myriad pro">
    <w:altName w:val="Tahoma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/>
        <w:bCs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b w:val="false"/>
        <w:bCs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728" w:hanging="648"/>
      </w:pPr>
      <w:rPr>
        <w:rFonts w:ascii="Symbol" w:hAnsi="Symbol" w:cs="Symbol" w:hint="default"/>
        <w:b w:val="false"/>
        <w:bCs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584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944" w:hanging="360"/>
      </w:pPr>
      <w:rPr>
        <w:rFonts w:ascii="Symbol" w:hAnsi="Symbol" w:cs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2304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2664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3024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3384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74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4104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4464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2f6121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qFormat/>
    <w:locked/>
    <w:rsid w:val="008b14e3"/>
    <w:pPr>
      <w:keepNext w:val="true"/>
      <w:tabs>
        <w:tab w:val="clear" w:pos="708"/>
        <w:tab w:val="left" w:pos="7167" w:leader="none"/>
      </w:tabs>
      <w:outlineLvl w:val="0"/>
    </w:pPr>
    <w:rPr>
      <w:b/>
      <w:sz w:val="22"/>
      <w:szCs w:val="22"/>
      <w:lang w:val="uk-UA"/>
    </w:rPr>
  </w:style>
  <w:style w:type="paragraph" w:styleId="Heading2">
    <w:name w:val="heading 2"/>
    <w:basedOn w:val="Normal"/>
    <w:next w:val="Normal"/>
    <w:link w:val="2"/>
    <w:qFormat/>
    <w:rsid w:val="00ac148e"/>
    <w:pPr>
      <w:keepNext w:val="true"/>
      <w:jc w:val="center"/>
      <w:outlineLvl w:val="1"/>
    </w:pPr>
    <w:rPr>
      <w:b/>
      <w:color w:val="000000"/>
      <w:sz w:val="20"/>
      <w:szCs w:val="20"/>
      <w:lang w:val="uk-UA"/>
    </w:rPr>
  </w:style>
  <w:style w:type="paragraph" w:styleId="Heading3">
    <w:name w:val="heading 3"/>
    <w:basedOn w:val="Normal"/>
    <w:next w:val="Normal"/>
    <w:link w:val="3"/>
    <w:semiHidden/>
    <w:unhideWhenUsed/>
    <w:qFormat/>
    <w:locked/>
    <w:rsid w:val="00463c9b"/>
    <w:pPr>
      <w:keepNext w:val="true"/>
      <w:spacing w:before="240" w:after="60"/>
      <w:outlineLvl w:val="2"/>
    </w:pPr>
    <w:rPr>
      <w:rFonts w:ascii="Cambria" w:hAnsi="Cambria" w:eastAsia="Times New Roman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qFormat/>
    <w:locked/>
    <w:rsid w:val="00ac148e"/>
    <w:rPr>
      <w:rFonts w:ascii="Times New Roman" w:hAnsi="Times New Roman" w:cs="Times New Roman"/>
      <w:b/>
      <w:color w:val="000000"/>
      <w:sz w:val="20"/>
      <w:lang w:val="uk-UA" w:eastAsia="ru-RU"/>
    </w:rPr>
  </w:style>
  <w:style w:type="character" w:styleId="Style11" w:customStyle="1">
    <w:name w:val="Основний текст Знак"/>
    <w:qFormat/>
    <w:locked/>
    <w:rsid w:val="00ac148e"/>
    <w:rPr>
      <w:rFonts w:ascii="Times New Roman" w:hAnsi="Times New Roman" w:cs="Times New Roman"/>
      <w:sz w:val="24"/>
      <w:lang w:eastAsia="ru-RU"/>
    </w:rPr>
  </w:style>
  <w:style w:type="character" w:styleId="FontStyle13" w:customStyle="1">
    <w:name w:val="Font Style13"/>
    <w:qFormat/>
    <w:rsid w:val="00ac148e"/>
    <w:rPr>
      <w:rFonts w:ascii="Times New Roman" w:hAnsi="Times New Roman"/>
      <w:sz w:val="22"/>
    </w:rPr>
  </w:style>
  <w:style w:type="character" w:styleId="3" w:customStyle="1">
    <w:name w:val="Заголовок 3 Знак"/>
    <w:semiHidden/>
    <w:qFormat/>
    <w:rsid w:val="00463c9b"/>
    <w:rPr>
      <w:rFonts w:ascii="Cambria" w:hAnsi="Cambria" w:eastAsia="Times New Roman" w:cs="Times New Roman"/>
      <w:b/>
      <w:bCs/>
      <w:sz w:val="26"/>
      <w:szCs w:val="26"/>
    </w:rPr>
  </w:style>
  <w:style w:type="character" w:styleId="InternetLink" w:customStyle="1">
    <w:name w:val="Internet Link"/>
    <w:uiPriority w:val="99"/>
    <w:unhideWhenUsed/>
    <w:qFormat/>
    <w:rsid w:val="00b5572f"/>
    <w:rPr>
      <w:color w:val="0000FF"/>
      <w:u w:val="single"/>
    </w:rPr>
  </w:style>
  <w:style w:type="character" w:styleId="Style12" w:customStyle="1">
    <w:name w:val="Текст у виносці Знак"/>
    <w:link w:val="BalloonText"/>
    <w:qFormat/>
    <w:rsid w:val="00f76099"/>
    <w:rPr>
      <w:rFonts w:ascii="Segoe UI" w:hAnsi="Segoe UI" w:cs="Segoe UI"/>
      <w:sz w:val="18"/>
      <w:szCs w:val="18"/>
    </w:rPr>
  </w:style>
  <w:style w:type="character" w:styleId="Style13" w:customStyle="1">
    <w:name w:val="Основний текст з відступом Знак"/>
    <w:basedOn w:val="DefaultParagraphFont"/>
    <w:link w:val="BodyTextIndented"/>
    <w:qFormat/>
    <w:rsid w:val="00b54875"/>
    <w:rPr>
      <w:rFonts w:ascii="Times New Roman" w:hAnsi="Times New Roman"/>
      <w:color w:val="FF0000"/>
      <w:sz w:val="22"/>
      <w:szCs w:val="22"/>
      <w:lang w:val="uk-UA"/>
    </w:rPr>
  </w:style>
  <w:style w:type="character" w:styleId="1" w:customStyle="1">
    <w:name w:val="Заголовок 1 Знак"/>
    <w:basedOn w:val="DefaultParagraphFont"/>
    <w:qFormat/>
    <w:rsid w:val="008b14e3"/>
    <w:rPr>
      <w:rFonts w:ascii="Times New Roman" w:hAnsi="Times New Roman"/>
      <w:b/>
      <w:sz w:val="22"/>
      <w:szCs w:val="22"/>
      <w:lang w:val="uk-UA"/>
    </w:rPr>
  </w:style>
  <w:style w:type="paragraph" w:styleId="Style14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1"/>
    <w:rsid w:val="00ac148e"/>
    <w:pPr>
      <w:spacing w:before="0" w:after="120"/>
    </w:pPr>
    <w:rPr>
      <w:szCs w:val="20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Style15" w:customStyle="1">
    <w:name w:val="Покажчик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11" w:customStyle="1">
    <w:name w:val="Абзац списка1"/>
    <w:basedOn w:val="Normal"/>
    <w:qFormat/>
    <w:rsid w:val="00ac148e"/>
    <w:pPr>
      <w:spacing w:before="0" w:after="0"/>
      <w:ind w:left="720"/>
      <w:contextualSpacing/>
    </w:pPr>
    <w:rPr/>
  </w:style>
  <w:style w:type="paragraph" w:styleId="NormalWeb">
    <w:name w:val="Normal (Web)"/>
    <w:basedOn w:val="Normal"/>
    <w:uiPriority w:val="99"/>
    <w:qFormat/>
    <w:rsid w:val="00ac148e"/>
    <w:pPr>
      <w:spacing w:beforeAutospacing="1" w:afterAutospacing="1"/>
    </w:pPr>
    <w:rPr/>
  </w:style>
  <w:style w:type="paragraph" w:styleId="12" w:customStyle="1">
    <w:name w:val="Обычный1"/>
    <w:uiPriority w:val="99"/>
    <w:qFormat/>
    <w:rsid w:val="00ac148e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auto"/>
      <w:kern w:val="0"/>
      <w:sz w:val="20"/>
      <w:szCs w:val="20"/>
      <w:lang w:val="uk-UA" w:eastAsia="ru-RU" w:bidi="ar-SA"/>
    </w:rPr>
  </w:style>
  <w:style w:type="paragraph" w:styleId="21" w:customStyle="1">
    <w:name w:val="Без интервала2"/>
    <w:qFormat/>
    <w:rsid w:val="00ac148e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auto"/>
      <w:kern w:val="0"/>
      <w:sz w:val="20"/>
      <w:szCs w:val="20"/>
      <w:lang w:val="uk-UA" w:eastAsia="uk-UA" w:bidi="ar-SA"/>
    </w:rPr>
  </w:style>
  <w:style w:type="paragraph" w:styleId="ListParagraph">
    <w:name w:val="List Paragraph"/>
    <w:basedOn w:val="Normal"/>
    <w:uiPriority w:val="34"/>
    <w:qFormat/>
    <w:rsid w:val="0034706c"/>
    <w:pPr>
      <w:spacing w:before="120" w:after="120"/>
      <w:ind w:firstLine="340" w:left="720" w:right="142"/>
      <w:contextualSpacing/>
      <w:jc w:val="both"/>
    </w:pPr>
    <w:rPr>
      <w:rFonts w:eastAsia="Times New Roman"/>
    </w:rPr>
  </w:style>
  <w:style w:type="paragraph" w:styleId="tj" w:customStyle="1">
    <w:name w:val="tj"/>
    <w:basedOn w:val="Normal"/>
    <w:qFormat/>
    <w:rsid w:val="00687f07"/>
    <w:pPr>
      <w:spacing w:beforeAutospacing="1" w:afterAutospacing="1"/>
    </w:pPr>
    <w:rPr>
      <w:rFonts w:eastAsia="Times New Roman"/>
    </w:rPr>
  </w:style>
  <w:style w:type="paragraph" w:styleId="BalloonText">
    <w:name w:val="Balloon Text"/>
    <w:basedOn w:val="Normal"/>
    <w:link w:val="Style12"/>
    <w:qFormat/>
    <w:rsid w:val="00f76099"/>
    <w:pPr/>
    <w:rPr>
      <w:rFonts w:ascii="Segoe UI" w:hAnsi="Segoe UI"/>
      <w:sz w:val="18"/>
      <w:szCs w:val="18"/>
    </w:rPr>
  </w:style>
  <w:style w:type="paragraph" w:styleId="NoSpacing">
    <w:name w:val="No Spacing"/>
    <w:uiPriority w:val="1"/>
    <w:qFormat/>
    <w:rsid w:val="000f044f"/>
    <w:pPr>
      <w:widowControl/>
      <w:suppressAutoHyphens w:val="true"/>
      <w:bidi w:val="0"/>
      <w:spacing w:before="0" w:after="0"/>
      <w:jc w:val="left"/>
    </w:pPr>
    <w:rPr>
      <w:rFonts w:ascii="Calibri" w:hAnsi="Calibri" w:eastAsia="SimSun" w:cs="Times New Roman"/>
      <w:color w:val="auto"/>
      <w:kern w:val="0"/>
      <w:sz w:val="22"/>
      <w:szCs w:val="22"/>
      <w:lang w:val="ru-RU" w:eastAsia="zh-CN" w:bidi="ar-SA"/>
    </w:rPr>
  </w:style>
  <w:style w:type="paragraph" w:styleId="BodyTextIndented" w:customStyle="1">
    <w:name w:val="Body Text;Indented"/>
    <w:basedOn w:val="Normal"/>
    <w:link w:val="Style13"/>
    <w:unhideWhenUsed/>
    <w:qFormat/>
    <w:rsid w:val="00b54875"/>
    <w:pPr>
      <w:ind w:firstLine="426"/>
      <w:jc w:val="both"/>
    </w:pPr>
    <w:rPr>
      <w:color w:val="FF0000"/>
      <w:sz w:val="22"/>
      <w:szCs w:val="22"/>
      <w:lang w:val="uk-UA"/>
    </w:rPr>
  </w:style>
  <w:style w:type="numbering" w:styleId="Style16" w:customStyle="1">
    <w:name w:val="Без маркерів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1"/>
    <w:rsid w:val="00c7250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1E4B0-CD89-4CE5-92ED-7FD19B5A7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Application>LibreOffice/24.8.2.1$Linux_X86_64 LibreOffice_project/480$Build-1</Application>
  <AppVersion>15.0000</AppVersion>
  <Pages>7</Pages>
  <Words>2056</Words>
  <Characters>13569</Characters>
  <CharactersWithSpaces>15368</CharactersWithSpaces>
  <Paragraphs>183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2023-12-27T05:55:00Z</dcterms:created>
  <dc:creator>tetyana.tarasyuk</dc:creator>
  <dc:description/>
  <dc:language>uk-UA</dc:language>
  <cp:lastModifiedBy/>
  <cp:lastPrinted>2018-04-24T08:02:00Z</cp:lastPrinted>
  <dcterms:modified xsi:type="dcterms:W3CDTF">2024-11-04T18:39:41Z</dcterms:modified>
  <cp:revision>74</cp:revision>
  <dc:subject/>
  <dc:title>Типовий договір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