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Договір №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en-US"/>
        </w:rPr>
        <w:t xml:space="preserve">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shd w:fill="FFFFFF" w:val="clear"/>
          <w:lang w:val="uk-UA"/>
        </w:rPr>
        <w:t>- об’єднання співвласників інфраструктури об’єкта доступу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1», в особі </w:t>
      </w:r>
      <w:r>
        <w:rPr>
          <w:rFonts w:cs="Calibri" w:ascii="Calibri" w:hAnsi="Calibri" w:asciiTheme="minorHAnsi" w:cstheme="minorHAnsi" w:hAnsiTheme="minorHAnsi"/>
          <w:sz w:val="22"/>
          <w:szCs w:val="22"/>
          <w:shd w:fill="FFFF00" w:val="clear"/>
          <w:lang w:val="uk-UA"/>
        </w:rPr>
        <w:t>{genitive_person_position}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red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ТОВ «ІНТРА.КОМ»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1. Предмет договору</w:t>
      </w:r>
    </w:p>
    <w:p>
      <w:pPr>
        <w:pStyle w:val="Normal"/>
        <w:numPr>
          <w:ilvl w:val="0"/>
          <w:numId w:val="0"/>
        </w:numPr>
        <w:ind w:firstLine="357"/>
        <w:jc w:val="both"/>
        <w:outlineLvl w:val="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1.1 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1.2. Елементами інфраструктури об’єкта доступу, якими користується Сторона 2 на підставі цього Договору, є будинок.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1.3. 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, який знаходиться за адресою: 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.</w:t>
      </w:r>
    </w:p>
    <w:p>
      <w:pPr>
        <w:pStyle w:val="Normal"/>
        <w:ind w:firstLine="360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1.4. Сторона 2 користується об’єктом доступу, 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2. Вартість Доступу та порядок розрахунків</w:t>
      </w:r>
    </w:p>
    <w:p>
      <w:pPr>
        <w:pStyle w:val="Normal"/>
        <w:numPr>
          <w:ilvl w:val="0"/>
          <w:numId w:val="0"/>
        </w:numPr>
        <w:ind w:firstLine="360"/>
        <w:jc w:val="both"/>
        <w:outlineLvl w:val="0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2.1 Вартість доступу за цим Договором (розмір щомісячної оплати) становить –</w:t>
        <w:br/>
      </w:r>
      <w:r>
        <w:rPr>
          <w:rFonts w:cs="Calibri" w:ascii="Calibri" w:hAnsi="Calibri"/>
          <w:b/>
          <w:bCs/>
          <w:sz w:val="22"/>
          <w:szCs w:val="22"/>
          <w:highlight w:val="red"/>
          <w:shd w:fill="FFFF00" w:val="clear"/>
          <w:lang w:val="uk-UA"/>
        </w:rPr>
        <w:t>{price}</w:t>
      </w:r>
      <w:r>
        <w:rPr>
          <w:rFonts w:cs="Calibri" w:ascii="Calibri" w:hAnsi="Calibri"/>
          <w:b/>
          <w:sz w:val="22"/>
          <w:szCs w:val="22"/>
          <w:highlight w:val="red"/>
          <w:shd w:fill="FFFF00" w:val="clear"/>
          <w:lang w:val="uk-UA"/>
        </w:rPr>
        <w:t xml:space="preserve">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за місяць користування. </w:t>
      </w:r>
    </w:p>
    <w:p>
      <w:pPr>
        <w:pStyle w:val="Heading2"/>
        <w:ind w:firstLine="360"/>
        <w:jc w:val="both"/>
        <w:rPr>
          <w:rFonts w:ascii="Calibri" w:hAnsi="Calibri" w:cs="Calibri" w:asciiTheme="minorHAnsi" w:cstheme="minorHAnsi" w:hAnsiTheme="minorHAnsi"/>
          <w:b w:val="false"/>
          <w:color w:val="auto"/>
          <w:sz w:val="22"/>
          <w:szCs w:val="22"/>
          <w:highlight w:val="cyan"/>
        </w:rPr>
      </w:pPr>
      <w:r>
        <w:rPr>
          <w:rFonts w:cs="Calibri" w:ascii="Calibri" w:hAnsi="Calibri" w:asciiTheme="minorHAnsi" w:cstheme="minorHAnsi" w:hAnsiTheme="minorHAnsi"/>
          <w:b w:val="false"/>
          <w:color w:val="auto"/>
          <w:sz w:val="22"/>
          <w:szCs w:val="22"/>
          <w:highlight w:val="cyan"/>
        </w:rPr>
        <w:t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highlight w:val="cyan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 наведено у Додатку № 1 до Договору. 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2.2. Загальна сума Договору орієнтовно складає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red"/>
          <w:lang w:val="uk-UA"/>
        </w:rPr>
        <w:t>{total_price}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>
      <w:pPr>
        <w:pStyle w:val="Normal"/>
        <w:ind w:firstLine="36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 w:eastAsia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highlight w:val="yellow"/>
          <w:lang w:val="uk-UA" w:eastAsia="uk-UA"/>
        </w:rPr>
        <w:t>Одноразова плата за період січень 2021 р. – грудень 2022 р. становить 3000 грн., 00 коп. (три тисячі гривень, 00 коп.)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2.3. 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2.4. 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2.5. 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2.6. 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2.7. До 10-го числа кожного місяця Сторона 1 надає Стороні 2: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Акт приймання наданих послуг (2 примірника, по одному для кожної Сторони);</w:t>
      </w:r>
    </w:p>
    <w:p>
      <w:pPr>
        <w:pStyle w:val="Normal"/>
        <w:widowControl w:val="false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Рахунок на оплату доступу.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2.8.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2.9. Зміна розміру щомісячної плати за доступ оформлюється Додатковою угодою до Договору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2.10.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2.11. 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3. Права та обов’язки сторін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3.1. Сторона 1 має право:</w:t>
      </w:r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3.1.1. На вчасне отримання плати за доступ, згідно умов даного Договору.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0" w:name="n123"/>
      <w:bookmarkEnd w:id="0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3.1.2. 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" w:name="n125"/>
      <w:bookmarkEnd w:id="1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3.1.3. Перевіряти хід виконання Стороною 2 робіт, відповідно до цього Договору;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3.1.4. 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3.1.5. Контролювати дотримання вимог охорони праці при проведені робіт, вимагати їхнього призупинення при виникненні небезпечних ситуацій.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bookmarkStart w:id="2" w:name="n131"/>
      <w:bookmarkEnd w:id="2"/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>3.2. Сторона 1 зобов’язана:</w:t>
      </w:r>
    </w:p>
    <w:p>
      <w:pPr>
        <w:pStyle w:val="Normal"/>
        <w:ind w:firstLine="450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3.2.1. 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3.2.2. 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3" w:name="n132"/>
      <w:bookmarkEnd w:id="3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3.2.3. 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</w:p>
    <w:p>
      <w:pPr>
        <w:pStyle w:val="Normal"/>
        <w:ind w:firstLine="450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4" w:name="n135"/>
      <w:bookmarkStart w:id="5" w:name="n134"/>
      <w:bookmarkStart w:id="6" w:name="n133"/>
      <w:bookmarkEnd w:id="4"/>
      <w:bookmarkEnd w:id="5"/>
      <w:bookmarkEnd w:id="6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3.2.4. 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bookmarkStart w:id="7" w:name="n136"/>
      <w:bookmarkEnd w:id="7"/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3.3 Сторона 2 має право: 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8" w:name="n141"/>
      <w:bookmarkEnd w:id="8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3.3.1. Після укладення Договору з доступу Сторона 2 має право: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9" w:name="n142"/>
      <w:bookmarkEnd w:id="9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1) 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0" w:name="n143"/>
      <w:bookmarkEnd w:id="10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2) на проведення робіт відповідно до Договору з доступу на елементах інфраструктури об’єкта доступу;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1" w:name="n144"/>
      <w:bookmarkEnd w:id="11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3) 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2" w:name="n145"/>
      <w:bookmarkEnd w:id="12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4) 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5) на отримання інформації про:</w:t>
      </w:r>
    </w:p>
    <w:p>
      <w:pPr>
        <w:pStyle w:val="Normal"/>
        <w:ind w:firstLine="426"/>
        <w:jc w:val="both"/>
        <w:rPr>
          <w:rStyle w:val="FontStyle13"/>
          <w:rFonts w:ascii="Calibri" w:hAnsi="Calibri" w:cs="Calibri" w:asciiTheme="minorHAnsi" w:cstheme="minorHAnsi" w:hAnsiTheme="minorHAnsi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-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комунікацій;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-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b/>
          <w:sz w:val="22"/>
          <w:szCs w:val="22"/>
          <w:lang w:val="uk-UA"/>
        </w:rPr>
      </w:pPr>
      <w:bookmarkStart w:id="13" w:name="n146"/>
      <w:bookmarkEnd w:id="13"/>
      <w:r>
        <w:rPr>
          <w:rFonts w:eastAsia="Times New Roman" w:cs="Calibri" w:ascii="Calibri" w:hAnsi="Calibri" w:asciiTheme="minorHAnsi" w:cstheme="minorHAnsi" w:hAnsiTheme="minorHAnsi"/>
          <w:b/>
          <w:sz w:val="22"/>
          <w:szCs w:val="22"/>
          <w:lang w:val="uk-UA"/>
        </w:rPr>
        <w:t>3.4. Сторона 2 зобов’язана: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4" w:name="n147"/>
      <w:bookmarkEnd w:id="14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3.4.1. 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3.4.2. 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5" w:name="n150"/>
      <w:bookmarkEnd w:id="15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3.4.3. 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елементах інфраструктури об’єкта доступу.</w:t>
      </w:r>
    </w:p>
    <w:p>
      <w:pPr>
        <w:pStyle w:val="Normal"/>
        <w:ind w:firstLine="426"/>
        <w:jc w:val="both"/>
        <w:rPr>
          <w:rFonts w:ascii="Calibri" w:hAnsi="Calibri" w:eastAsia="Times New Roman" w:cs="Calibri" w:asciiTheme="minorHAnsi" w:cstheme="minorHAnsi" w:hAnsiTheme="minorHAnsi"/>
          <w:sz w:val="22"/>
          <w:szCs w:val="22"/>
          <w:lang w:val="uk-UA"/>
        </w:rPr>
      </w:pPr>
      <w:bookmarkStart w:id="16" w:name="n151"/>
      <w:bookmarkEnd w:id="16"/>
      <w:r>
        <w:rPr>
          <w:rFonts w:eastAsia="Times New Roman" w:cs="Calibri" w:ascii="Calibri" w:hAnsi="Calibri" w:asciiTheme="minorHAnsi" w:cstheme="minorHAnsi" w:hAnsiTheme="minorHAnsi"/>
          <w:sz w:val="22"/>
          <w:szCs w:val="22"/>
          <w:lang w:val="uk-UA"/>
        </w:rPr>
        <w:t>3.4.4. Своєчасно сплачувати плату за доступ до інфраструктури об’єкта доступу.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3.5. 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Normal"/>
        <w:ind w:firstLine="426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4. Відповідальність сторін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4.1. 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4.2. 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4.3. 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4.4.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4.5. 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4.6. 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4.7. 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них мереж третіми особами.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4.8. 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4.9. Сторона 2 несе відповідальність за шкоду, заподіяну ним відносно елементів об’єктів будівництва.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4.10. 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Normal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5.1. Сторони не мають права передавати третім особам права та обов’язки за цим Договором без взаємної письмової згоди.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5.2 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5.3.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5.4. Сторона 2 є платником податку на прибуток на загальних підставах.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5.5 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Normal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numPr>
          <w:ilvl w:val="0"/>
          <w:numId w:val="1"/>
        </w:numPr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6.1. 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12"/>
        <w:widowControl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7. Строк дії та умови зміни, розірвання договору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7.1. 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</w:rPr>
        <w:t>01 січня 2024 року.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7.2. 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 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7.3. Дія Договору припиняється: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за згодою Сторін;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у зв’язку із закінченням строку дії Договору;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- у разі розірвання Договору однією зі сторін внаслідок неналежного його виконання; 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- у разі наявності відповідного судового рішення.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eastAsia="uk-UA"/>
        </w:rPr>
        <w:t>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eastAsia="uk-UA"/>
        </w:rPr>
        <w:t>7.4. 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eastAsia="uk-UA"/>
        </w:rPr>
        <w:t>7.5. Реорганізація або зміна Сторони 1 не є підставою для зміни умов чи розірвання цього Договору.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7.6. 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7.7. Всі зміни та доповнення до цього Договору здійснюються шляхом укладання додаткових угод до нього.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7.8. 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12"/>
        <w:widowControl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8.1. 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BodyText"/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8.2. 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BodyText"/>
        <w:tabs>
          <w:tab w:val="clear" w:pos="708"/>
          <w:tab w:val="left" w:pos="567" w:leader="none"/>
        </w:tabs>
        <w:spacing w:lineRule="auto" w:line="120" w:before="0" w:after="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9. Застереження про конфіденційність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9.1. 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BodyText"/>
        <w:tabs>
          <w:tab w:val="clear" w:pos="708"/>
          <w:tab w:val="left" w:pos="502" w:leader="none"/>
        </w:tabs>
        <w:spacing w:before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9.2. 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BodyText"/>
        <w:tabs>
          <w:tab w:val="clear" w:pos="708"/>
          <w:tab w:val="left" w:pos="502" w:leader="none"/>
        </w:tabs>
        <w:spacing w:lineRule="auto" w:line="120" w:before="0" w:after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2"/>
        <w:widowControl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10. Інші умови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10.1.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10.2. 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10.3. 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NormalWeb"/>
        <w:spacing w:beforeAutospacing="0" w:before="0" w:afterAutospacing="0" w:after="0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10.4. Всі відносини, що не врегульовані даним Договором, регулюються чинним законодавством України.</w:t>
      </w:r>
    </w:p>
    <w:p>
      <w:pPr>
        <w:pStyle w:val="Normal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11. Додатки до договору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11.1. До цього Договору додаються: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11.1.2. Додаток № 1 Перелік елементів інфраструктури об'єктів будівництва, наданих для Доступу.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</w:rPr>
        <w:t>Розрахунок розміру щомісячної оплати.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11.2. Усі додатки до Договору є його невід’ємними частинами.</w:t>
      </w:r>
    </w:p>
    <w:p>
      <w:pPr>
        <w:pStyle w:val="12"/>
        <w:spacing w:lineRule="auto" w:line="120"/>
        <w:ind w:firstLine="357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12"/>
        <w:ind w:firstLine="36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12. Відповідальні представники сторін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12.1. Для координації дій з виконання цього Договору Сторони призначають відповідальних представників: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12.1.1. Від Сторони 1 -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</w:rPr>
        <w:t>{person_party_one}, т. {person_party_one_phonenumber}.</w:t>
      </w:r>
    </w:p>
    <w:p>
      <w:pPr>
        <w:pStyle w:val="12"/>
        <w:ind w:firstLine="360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12.1.2. Від Сторони 2 - Бондаренко Сергій Васильович, т. 067-823-66-25.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13. Реквізити та підписи сторін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en-US"/>
        </w:rPr>
      </w:pPr>
      <w:r>
        <w:rPr>
          <w:rFonts w:cs="Calibri" w:cstheme="minorHAnsi" w:ascii="Calibri" w:hAnsi="Calibri"/>
          <w:b/>
          <w:sz w:val="22"/>
          <w:szCs w:val="22"/>
          <w:lang w:val="en-US"/>
        </w:rPr>
      </w:r>
    </w:p>
    <w:tbl>
      <w:tblPr>
        <w:tblStyle w:val="ad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1"/>
        <w:gridCol w:w="5210"/>
      </w:tblGrid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cstheme="minorHAnsi" w:ascii="Calibri" w:hAnsi="Calibri"/>
                <w:b/>
                <w:kern w:val="0"/>
                <w:sz w:val="22"/>
                <w:szCs w:val="22"/>
                <w:lang w:val="uk-UA" w:eastAsia="ru-RU" w:bidi="ar-SA"/>
              </w:rPr>
            </w:r>
          </w:p>
        </w:tc>
      </w:tr>
      <w:tr>
        <w:trPr>
          <w:trHeight w:val="14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shd w:fill="FFFF00" w:val="clear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від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{from_date} р.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0"/>
        <w:gridCol w:w="5115"/>
        <w:gridCol w:w="1117"/>
        <w:gridCol w:w="1539"/>
        <w:gridCol w:w="1383"/>
        <w:gridCol w:w="647"/>
      </w:tblGrid>
      <w:tr>
        <w:trPr>
          <w:trHeight w:val="950" w:hRule="atLeast"/>
        </w:trPr>
        <w:tc>
          <w:tcPr>
            <w:tcW w:w="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>
        <w:trPr>
          <w:trHeight w:val="545" w:hRule="atLeast"/>
        </w:trPr>
        <w:tc>
          <w:tcPr>
            <w:tcW w:w="6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5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"/>
        <w:gridCol w:w="3594"/>
        <w:gridCol w:w="708"/>
        <w:gridCol w:w="709"/>
        <w:gridCol w:w="709"/>
        <w:gridCol w:w="851"/>
        <w:gridCol w:w="709"/>
        <w:gridCol w:w="799"/>
        <w:gridCol w:w="1812"/>
      </w:tblGrid>
      <w:tr>
        <w:trPr>
          <w:trHeight w:val="1076" w:hRule="atLeast"/>
        </w:trPr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</w:t>
              <w:br/>
              <w:t>%</w:t>
              <w:br/>
              <w:t>(залежно від кількості квартир Об’єкту)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  <w:br/>
              <w:t>(грн./місяць)</w:t>
            </w:r>
          </w:p>
        </w:tc>
      </w:tr>
      <w:tr>
        <w:trPr>
          <w:trHeight w:val="384" w:hRule="atLeast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35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red"/>
                <w:lang w:val="uk-UA"/>
              </w:rPr>
              <w:t>{price},{pennies}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Style w:val="ad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1"/>
        <w:gridCol w:w="5210"/>
      </w:tblGrid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cstheme="minorHAnsi" w:ascii="Calibri" w:hAnsi="Calibri"/>
                <w:b/>
                <w:kern w:val="0"/>
                <w:sz w:val="22"/>
                <w:szCs w:val="22"/>
                <w:lang w:val="uk-UA" w:eastAsia="ru-RU" w:bidi="ar-SA"/>
              </w:rPr>
            </w:r>
          </w:p>
        </w:tc>
      </w:tr>
      <w:tr>
        <w:trPr>
          <w:trHeight w:val="14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tabs>
          <w:tab w:val="clear" w:pos="708"/>
          <w:tab w:val="left" w:pos="4441" w:leader="none"/>
          <w:tab w:val="center" w:pos="7426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Myriad pro">
    <w:altName w:val="Tahom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8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и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у виносці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ий текст з від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left="720" w:right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bidi w:val="0"/>
      <w:spacing w:before="0" w:after="0"/>
      <w:jc w:val="left"/>
    </w:pPr>
    <w:rPr>
      <w:rFonts w:eastAsia="SimSun" w:ascii="Calibri" w:hAnsi="Calibri" w:cs="Times New Roman"/>
      <w:color w:val="auto"/>
      <w:kern w:val="0"/>
      <w:sz w:val="22"/>
      <w:szCs w:val="22"/>
      <w:lang w:eastAsia="zh-CN" w:val="ru-RU" w:bidi="ar-SA"/>
    </w:rPr>
  </w:style>
  <w:style w:type="paragraph" w:styleId="BodyTextIndented">
    <w:name w:val="Body Text, 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styleId="Style16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c725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LibreOffice/24.8.2.1$Linux_X86_64 LibreOffice_project/480$Build-1</Application>
  <AppVersion>15.0000</AppVersion>
  <Pages>7</Pages>
  <Words>2078</Words>
  <Characters>13668</Characters>
  <CharactersWithSpaces>15593</CharactersWithSpaces>
  <Paragraphs>182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2024-11-02T10:01:44Z</dcterms:modified>
  <cp:revision>56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