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A69" w:rsidRDefault="00040A69" w:rsidP="00040A69">
      <w:pPr>
        <w:rPr>
          <w:rFonts w:ascii="Times New Roman" w:eastAsia="Times New Roman" w:hAnsi="Times New Roman" w:cs="Times New Roman"/>
          <w:lang w:eastAsia="ru-RU"/>
        </w:rPr>
      </w:pPr>
      <w:r w:rsidRPr="00040A69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40A69">
        <w:rPr>
          <w:rFonts w:ascii="Times New Roman" w:eastAsia="Times New Roman" w:hAnsi="Times New Roman" w:cs="Times New Roman"/>
          <w:lang w:eastAsia="ru-RU"/>
        </w:rPr>
        <w:instrText xml:space="preserve"> INCLUDEPICTURE "https://www.atomic-energy.ru/files/images/2019/11/nica.jpg" \* MERGEFORMATINET </w:instrText>
      </w:r>
      <w:r w:rsidRPr="00040A6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40A6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664869" cy="2624394"/>
            <wp:effectExtent l="0" t="0" r="0" b="5080"/>
            <wp:docPr id="1" name="Рисунок 1" descr="Объединенный институт ядерных исследований запустил видеокурс о  мегасайенс-проекте NICA | Атомная энергия 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ъединенный институт ядерных исследований запустил видеокурс о  мегасайенс-проекте NICA | Атомная энергия 2.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64" cy="263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A69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040A69" w:rsidRPr="00040A69" w:rsidRDefault="00040A69" w:rsidP="00040A69">
      <w:pPr>
        <w:rPr>
          <w:rFonts w:ascii="Times New Roman" w:eastAsia="Times New Roman" w:hAnsi="Times New Roman" w:cs="Times New Roman"/>
          <w:lang w:eastAsia="ru-RU"/>
        </w:rPr>
      </w:pPr>
      <w:r w:rsidRPr="00040A69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eastAsia="ru-RU"/>
        </w:rPr>
        <w:t>NICA</w:t>
      </w:r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 (</w:t>
      </w:r>
      <w:hyperlink r:id="rId5" w:tooltip="Английский язык" w:history="1">
        <w:r w:rsidRPr="00040A69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англ.</w:t>
        </w:r>
      </w:hyperlink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 </w:t>
      </w:r>
      <w:proofErr w:type="spellStart"/>
      <w:r w:rsidRPr="00040A6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n" w:eastAsia="ru-RU"/>
        </w:rPr>
        <w:t>N</w:t>
      </w:r>
      <w:r w:rsidRPr="00040A69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val="en" w:eastAsia="ru-RU"/>
        </w:rPr>
        <w:t>uclotron</w:t>
      </w:r>
      <w:proofErr w:type="spellEnd"/>
      <w:r w:rsidRPr="00040A69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>-</w:t>
      </w:r>
      <w:r w:rsidRPr="00040A69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val="en" w:eastAsia="ru-RU"/>
        </w:rPr>
        <w:t>based </w:t>
      </w:r>
      <w:r w:rsidRPr="00040A6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n" w:eastAsia="ru-RU"/>
        </w:rPr>
        <w:t>I</w:t>
      </w:r>
      <w:r w:rsidRPr="00040A69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val="en" w:eastAsia="ru-RU"/>
        </w:rPr>
        <w:t>on </w:t>
      </w:r>
      <w:r w:rsidRPr="00040A6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n" w:eastAsia="ru-RU"/>
        </w:rPr>
        <w:t>C</w:t>
      </w:r>
      <w:r w:rsidRPr="00040A69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val="en" w:eastAsia="ru-RU"/>
        </w:rPr>
        <w:t>ollider</w:t>
      </w:r>
      <w:r w:rsidRPr="00040A69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040A69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val="en" w:eastAsia="ru-RU"/>
        </w:rPr>
        <w:t>f</w:t>
      </w:r>
      <w:r w:rsidRPr="00040A6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n" w:eastAsia="ru-RU"/>
        </w:rPr>
        <w:t>A</w:t>
      </w:r>
      <w:r w:rsidRPr="00040A69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val="en" w:eastAsia="ru-RU"/>
        </w:rPr>
        <w:t>cility</w:t>
      </w:r>
      <w:proofErr w:type="spellEnd"/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) — сверхпроводящий</w:t>
      </w:r>
      <w:hyperlink r:id="rId6" w:anchor="cite_note-1" w:history="1">
        <w:r w:rsidRPr="00040A69">
          <w:rPr>
            <w:rFonts w:ascii="Arial" w:eastAsia="Times New Roman" w:hAnsi="Arial" w:cs="Arial"/>
            <w:color w:val="0B0080"/>
            <w:sz w:val="17"/>
            <w:szCs w:val="17"/>
            <w:u w:val="single"/>
            <w:shd w:val="clear" w:color="auto" w:fill="FFFFFF"/>
            <w:vertAlign w:val="superscript"/>
            <w:lang w:eastAsia="ru-RU"/>
          </w:rPr>
          <w:t>[1]</w:t>
        </w:r>
      </w:hyperlink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 </w:t>
      </w:r>
      <w:proofErr w:type="spellStart"/>
      <w:r w:rsidRPr="00040A69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40A69">
        <w:rPr>
          <w:rFonts w:ascii="Times New Roman" w:eastAsia="Times New Roman" w:hAnsi="Times New Roman" w:cs="Times New Roman"/>
          <w:lang w:eastAsia="ru-RU"/>
        </w:rPr>
        <w:instrText xml:space="preserve"> HYPERLINK "https://ru.wikipedia.org/wiki/%D0%9A%D0%BE%D0%BB%D0%BB%D0%B0%D0%B9%D0%B4%D0%B5%D1%80" \o "Коллайдер" </w:instrText>
      </w:r>
      <w:r w:rsidRPr="00040A6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40A69">
        <w:rPr>
          <w:rFonts w:ascii="Arial" w:eastAsia="Times New Roman" w:hAnsi="Arial" w:cs="Arial"/>
          <w:color w:val="0B0080"/>
          <w:sz w:val="21"/>
          <w:szCs w:val="21"/>
          <w:u w:val="single"/>
          <w:shd w:val="clear" w:color="auto" w:fill="FFFFFF"/>
          <w:lang w:eastAsia="ru-RU"/>
        </w:rPr>
        <w:t>коллайдер</w:t>
      </w:r>
      <w:proofErr w:type="spellEnd"/>
      <w:r w:rsidRPr="00040A69">
        <w:rPr>
          <w:rFonts w:ascii="Times New Roman" w:eastAsia="Times New Roman" w:hAnsi="Times New Roman" w:cs="Times New Roman"/>
          <w:lang w:eastAsia="ru-RU"/>
        </w:rPr>
        <w:fldChar w:fldCharType="end"/>
      </w:r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 </w:t>
      </w:r>
      <w:hyperlink r:id="rId7" w:tooltip="Протон" w:history="1">
        <w:r w:rsidRPr="00040A69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протонов</w:t>
        </w:r>
      </w:hyperlink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 и тяжёлых </w:t>
      </w:r>
      <w:hyperlink r:id="rId8" w:tooltip="Ион" w:history="1">
        <w:r w:rsidRPr="00040A69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ионов</w:t>
        </w:r>
      </w:hyperlink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, строящийся с 2013 года на базе Лаборатории физики высоких энергий (ЛФВЭ) им. В. И. Векслера и А. М. </w:t>
      </w:r>
      <w:proofErr w:type="spellStart"/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Балдина</w:t>
      </w:r>
      <w:proofErr w:type="spellEnd"/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 </w:t>
      </w:r>
      <w:hyperlink r:id="rId9" w:tooltip="ОИЯИ" w:history="1">
        <w:r w:rsidRPr="00040A69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Объединённого института ядерных исследований</w:t>
        </w:r>
      </w:hyperlink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 (ОИЯИ), в городе </w:t>
      </w:r>
      <w:hyperlink r:id="rId10" w:tooltip="Дубна" w:history="1">
        <w:r w:rsidRPr="00040A69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ru-RU"/>
          </w:rPr>
          <w:t>Дубна</w:t>
        </w:r>
      </w:hyperlink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 Московской области. Планируемое окончание строительства — 2022 год</w:t>
      </w:r>
      <w:hyperlink r:id="rId11" w:anchor="%D0%A5%D0%BE%D0%B4_%D1%81%D1%82%D1%80%D0%BE%D0%B8%D1%82%D0%B5%D0%BB%D1%8C%D1%81%D1%82%D0%B2%D0%B0" w:history="1">
        <w:r w:rsidRPr="00040A69">
          <w:rPr>
            <w:rFonts w:ascii="Arial" w:eastAsia="Times New Roman" w:hAnsi="Arial" w:cs="Arial"/>
            <w:color w:val="0B0080"/>
            <w:sz w:val="17"/>
            <w:szCs w:val="17"/>
            <w:u w:val="single"/>
            <w:shd w:val="clear" w:color="auto" w:fill="FFFFFF"/>
            <w:vertAlign w:val="superscript"/>
            <w:lang w:eastAsia="ru-RU"/>
          </w:rPr>
          <w:t>[</w:t>
        </w:r>
        <w:r w:rsidRPr="00040A69">
          <w:rPr>
            <w:rFonts w:ascii="Cambria Math" w:eastAsia="Times New Roman" w:hAnsi="Cambria Math" w:cs="Cambria Math"/>
            <w:color w:val="0B0080"/>
            <w:sz w:val="17"/>
            <w:szCs w:val="17"/>
            <w:u w:val="single"/>
            <w:shd w:val="clear" w:color="auto" w:fill="FFFFFF"/>
            <w:vertAlign w:val="superscript"/>
            <w:lang w:eastAsia="ru-RU"/>
          </w:rPr>
          <w:t>⇨</w:t>
        </w:r>
        <w:r w:rsidRPr="00040A69">
          <w:rPr>
            <w:rFonts w:ascii="Arial" w:eastAsia="Times New Roman" w:hAnsi="Arial" w:cs="Arial"/>
            <w:color w:val="0B0080"/>
            <w:sz w:val="17"/>
            <w:szCs w:val="17"/>
            <w:u w:val="single"/>
            <w:shd w:val="clear" w:color="auto" w:fill="FFFFFF"/>
            <w:vertAlign w:val="superscript"/>
            <w:lang w:eastAsia="ru-RU"/>
          </w:rPr>
          <w:t>]</w:t>
        </w:r>
      </w:hyperlink>
      <w:r w:rsidRPr="00040A6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.</w:t>
      </w:r>
    </w:p>
    <w:p w:rsidR="00040A69" w:rsidRDefault="00040A69" w:rsidP="00040A69">
      <w:pPr>
        <w:rPr>
          <w:rFonts w:ascii="Times New Roman" w:eastAsia="Times New Roman" w:hAnsi="Times New Roman" w:cs="Times New Roman"/>
          <w:lang w:eastAsia="ru-RU"/>
        </w:rPr>
      </w:pPr>
    </w:p>
    <w:p w:rsidR="00040A69" w:rsidRPr="00040A69" w:rsidRDefault="00040A69" w:rsidP="00040A69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Ресурс</w:t>
      </w:r>
      <w:r w:rsidRPr="00040A69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040A69">
        <w:rPr>
          <w:rFonts w:ascii="Times New Roman" w:eastAsia="Times New Roman" w:hAnsi="Times New Roman" w:cs="Times New Roman"/>
          <w:lang w:val="en-US" w:eastAsia="ru-RU"/>
        </w:rPr>
        <w:t>https</w:t>
      </w:r>
      <w:r w:rsidRPr="00040A69">
        <w:rPr>
          <w:rFonts w:ascii="Times New Roman" w:eastAsia="Times New Roman" w:hAnsi="Times New Roman" w:cs="Times New Roman"/>
          <w:lang w:eastAsia="ru-RU"/>
        </w:rPr>
        <w:t>://</w:t>
      </w:r>
      <w:r w:rsidRPr="00040A69">
        <w:rPr>
          <w:rFonts w:ascii="Times New Roman" w:eastAsia="Times New Roman" w:hAnsi="Times New Roman" w:cs="Times New Roman"/>
          <w:lang w:val="en-US" w:eastAsia="ru-RU"/>
        </w:rPr>
        <w:t>nica</w:t>
      </w:r>
      <w:r w:rsidRPr="00040A69">
        <w:rPr>
          <w:rFonts w:ascii="Times New Roman" w:eastAsia="Times New Roman" w:hAnsi="Times New Roman" w:cs="Times New Roman"/>
          <w:lang w:eastAsia="ru-RU"/>
        </w:rPr>
        <w:t>.</w:t>
      </w:r>
      <w:r w:rsidRPr="00040A69">
        <w:rPr>
          <w:rFonts w:ascii="Times New Roman" w:eastAsia="Times New Roman" w:hAnsi="Times New Roman" w:cs="Times New Roman"/>
          <w:lang w:val="en-US" w:eastAsia="ru-RU"/>
        </w:rPr>
        <w:t>jinr</w:t>
      </w:r>
      <w:r w:rsidRPr="00040A69">
        <w:rPr>
          <w:rFonts w:ascii="Times New Roman" w:eastAsia="Times New Roman" w:hAnsi="Times New Roman" w:cs="Times New Roman"/>
          <w:lang w:eastAsia="ru-RU"/>
        </w:rPr>
        <w:t>.</w:t>
      </w:r>
      <w:r w:rsidRPr="00040A69">
        <w:rPr>
          <w:rFonts w:ascii="Times New Roman" w:eastAsia="Times New Roman" w:hAnsi="Times New Roman" w:cs="Times New Roman"/>
          <w:lang w:val="en-US" w:eastAsia="ru-RU"/>
        </w:rPr>
        <w:t>ru</w:t>
      </w:r>
      <w:r w:rsidRPr="00040A69">
        <w:rPr>
          <w:rFonts w:ascii="Times New Roman" w:eastAsia="Times New Roman" w:hAnsi="Times New Roman" w:cs="Times New Roman"/>
          <w:lang w:eastAsia="ru-RU"/>
        </w:rPr>
        <w:t>/</w:t>
      </w:r>
      <w:r w:rsidRPr="00040A69">
        <w:rPr>
          <w:rFonts w:ascii="Times New Roman" w:eastAsia="Times New Roman" w:hAnsi="Times New Roman" w:cs="Times New Roman"/>
          <w:lang w:val="en-US" w:eastAsia="ru-RU"/>
        </w:rPr>
        <w:t>ru</w:t>
      </w:r>
      <w:r w:rsidRPr="00040A69">
        <w:rPr>
          <w:rFonts w:ascii="Times New Roman" w:eastAsia="Times New Roman" w:hAnsi="Times New Roman" w:cs="Times New Roman"/>
          <w:lang w:eastAsia="ru-RU"/>
        </w:rPr>
        <w:t>/</w:t>
      </w:r>
    </w:p>
    <w:p w:rsidR="007221C8" w:rsidRPr="00040A69" w:rsidRDefault="007221C8"/>
    <w:sectPr w:rsidR="007221C8" w:rsidRPr="00040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A1"/>
    <w:rsid w:val="00040A69"/>
    <w:rsid w:val="007221C8"/>
    <w:rsid w:val="00735F9F"/>
    <w:rsid w:val="00795319"/>
    <w:rsid w:val="00BA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99A48"/>
  <w15:chartTrackingRefBased/>
  <w15:docId w15:val="{077FAB87-283A-9D41-A314-79FBE353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0A69"/>
    <w:rPr>
      <w:color w:val="0000FF"/>
      <w:u w:val="single"/>
    </w:rPr>
  </w:style>
  <w:style w:type="character" w:customStyle="1" w:styleId="ts-">
    <w:name w:val="ts-переход"/>
    <w:basedOn w:val="a0"/>
    <w:rsid w:val="00040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E%D0%B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1%80%D0%BE%D1%82%D0%BE%D0%B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NICA" TargetMode="External"/><Relationship Id="rId11" Type="http://schemas.openxmlformats.org/officeDocument/2006/relationships/hyperlink" Target="https://ru.wikipedia.org/wiki/NICA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4%D1%83%D0%B1%D0%BD%D0%B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E%D0%98%D0%AF%D0%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2</cp:revision>
  <dcterms:created xsi:type="dcterms:W3CDTF">2020-11-05T12:40:00Z</dcterms:created>
  <dcterms:modified xsi:type="dcterms:W3CDTF">2020-11-05T12:41:00Z</dcterms:modified>
</cp:coreProperties>
</file>