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4B2729">
      <w:pPr>
        <w:pStyle w:val="Heading1"/>
        <w:rPr>
          <w:lang w:val="fr-CH"/>
        </w:rPr>
      </w:pPr>
      <w:r>
        <w:rPr>
          <w:lang w:val="fr-CH"/>
        </w:rPr>
        <w:t>Modifier le lay-out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> : Modification du lay-out du graphe affiché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sélectionne le menu de modification du lay-out du graphe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choisi un lay-out parmi les choix disponibles dans une liste.</w:t>
      </w:r>
    </w:p>
    <w:p w:rsidR="00485FE8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appliquer le lay-out ».</w:t>
      </w:r>
    </w:p>
    <w:p w:rsidR="00485FE8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Les nœuds sont déplacés à l’écran jusqu’à ce que l’algorithme de création du lay-out soit terminé. Durant ce temps, l’utilisateur ne peut pas appliquer un autre lay-out.</w:t>
      </w:r>
    </w:p>
    <w:p w:rsidR="00485FE8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Retour à la visualisation du graphe.</w:t>
      </w:r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485FE8">
        <w:rPr>
          <w:rFonts w:ascii="Arial" w:hAnsi="Arial"/>
          <w:lang w:val="fr-CH"/>
        </w:rPr>
        <w:t>Arrêt de l’application d’un lay-out</w:t>
      </w:r>
    </w:p>
    <w:p w:rsidR="00877669" w:rsidRPr="00556FB7" w:rsidRDefault="00877669" w:rsidP="00556FB7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556FB7">
        <w:rPr>
          <w:rFonts w:ascii="Arial" w:hAnsi="Arial"/>
          <w:lang w:val="fr-CH"/>
        </w:rPr>
        <w:t>3</w:t>
      </w:r>
      <w:r>
        <w:rPr>
          <w:rFonts w:ascii="Arial" w:hAnsi="Arial"/>
          <w:lang w:val="fr-CH"/>
        </w:rPr>
        <w:t xml:space="preserve"> du scénario nominal</w:t>
      </w:r>
      <w:bookmarkStart w:id="0" w:name="_GoBack"/>
      <w:bookmarkEnd w:id="0"/>
    </w:p>
    <w:p w:rsidR="00877669" w:rsidRDefault="00485FE8">
      <w:pPr>
        <w:pStyle w:val="snario"/>
        <w:numPr>
          <w:ilvl w:val="0"/>
          <w:numId w:val="5"/>
        </w:numPr>
      </w:pPr>
      <w:r>
        <w:t>L’utilisateur clique sur le bouton « stop »</w:t>
      </w:r>
    </w:p>
    <w:p w:rsidR="00485FE8" w:rsidRDefault="00485FE8">
      <w:pPr>
        <w:pStyle w:val="snario"/>
        <w:numPr>
          <w:ilvl w:val="0"/>
          <w:numId w:val="5"/>
        </w:numPr>
      </w:pPr>
      <w:r>
        <w:t>L’exécution de l’algorithme de modification du lay-out s’arrête ; les nœuds restent à leur position actuelle.</w:t>
      </w:r>
    </w:p>
    <w:p w:rsidR="00877669" w:rsidRDefault="00485FE8">
      <w:pPr>
        <w:pStyle w:val="snario"/>
        <w:numPr>
          <w:ilvl w:val="0"/>
          <w:numId w:val="5"/>
        </w:numPr>
      </w:pPr>
      <w:r>
        <w:t>Reprend au point 5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485FE8"/>
    <w:rsid w:val="004B2729"/>
    <w:rsid w:val="00556FB7"/>
    <w:rsid w:val="00743375"/>
    <w:rsid w:val="00877669"/>
    <w:rsid w:val="009F5A44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5</cp:revision>
  <cp:lastPrinted>1899-12-31T23:00:00Z</cp:lastPrinted>
  <dcterms:created xsi:type="dcterms:W3CDTF">2017-11-13T20:24:00Z</dcterms:created>
  <dcterms:modified xsi:type="dcterms:W3CDTF">2017-11-13T21:33:00Z</dcterms:modified>
</cp:coreProperties>
</file>