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20"/>
              <w:left w:type="dxa" w:w="200"/>
              <w:bottom w:type="dxa" w:w="120"/>
              <w:right w:type="dxa" w:w="200"/>
            </w:tcMar>
          </w:tcPr>
          <w:p>
            <w:pPr>
              <w:spacing w:after="40" w:before="60" w:line="360"/>
              <w:ind/>
              <w:jc w:val="center"/>
            </w:pPr>
            <w:r>
              <w:rPr>
                <w:rFonts w:ascii="Times New Roman" w:cs="Times New Roman" w:eastAsia="Times New Roman" w:hAnsi="Times New Roman"/>
                <w:b/>
                <w:bCs/>
                <w:i w:val="false"/>
                <w:iCs w:val="false"/>
                <w:sz w:val="24"/>
                <w:szCs w:val="24"/>
              </w:rPr>
              <w:t xml:space="preserve">КУРС: ОБҐРУНТУВАННЯ ПРОЄКТІВ РОЗВИТКУ КОМПАНІЇ</w:t>
            </w:r>
          </w:p>
          <w:p>
            <w:pPr>
              <w:spacing w:after="40" w:before="40" w:line="360"/>
              <w:ind/>
              <w:jc w:val="center"/>
            </w:pPr>
            <w:r>
              <w:rPr>
                <w:rFonts w:ascii="Times New Roman" w:cs="Times New Roman" w:eastAsia="Times New Roman" w:hAnsi="Times New Roman"/>
                <w:b/>
                <w:bCs/>
                <w:i w:val="false"/>
                <w:iCs w:val="false"/>
                <w:sz w:val="32"/>
                <w:szCs w:val="32"/>
              </w:rPr>
              <w:t xml:space="preserve">Лекція 7</w:t>
            </w:r>
          </w:p>
          <w:p>
            <w:pPr>
              <w:spacing w:after="60" w:before="40" w:line="360"/>
              <w:ind/>
              <w:jc w:val="center"/>
            </w:pPr>
            <w:r>
              <w:rPr>
                <w:rFonts w:ascii="Times New Roman" w:cs="Times New Roman" w:eastAsia="Times New Roman" w:hAnsi="Times New Roman"/>
                <w:b/>
                <w:bCs/>
                <w:i w:val="false"/>
                <w:iCs w:val="false"/>
                <w:sz w:val="28"/>
                <w:szCs w:val="28"/>
              </w:rPr>
              <w:t xml:space="preserve">КРИТЕРІЇ ВИБОРУ ПРІОРИТЕТНИХ ПРОЄКТІВ РОЗВИТКУ КОМПАНІЇ</w:t>
            </w:r>
          </w:p>
          <w:p>
            <w:pPr>
              <w:spacing w:after="20" w:before="60" w:line="360"/>
              <w:ind/>
              <w:jc w:val="left"/>
            </w:pPr>
            <w:r>
              <w:rPr>
                <w:rFonts w:ascii="Times New Roman" w:cs="Times New Roman" w:eastAsia="Times New Roman" w:hAnsi="Times New Roman"/>
                <w:b/>
                <w:bCs/>
                <w:i w:val="false"/>
                <w:iCs w:val="false"/>
                <w:sz w:val="24"/>
                <w:szCs w:val="24"/>
              </w:rPr>
              <w:t xml:space="preserve">У лекції розкрито:</w:t>
            </w:r>
          </w:p>
          <w:p>
            <w:pPr>
              <w:spacing w:after="20" w:before="0" w:line="360"/>
              <w:ind/>
              <w:jc w:val="both"/>
            </w:pPr>
            <w:r>
              <w:rPr>
                <w:rFonts w:ascii="Times New Roman" w:cs="Times New Roman" w:eastAsia="Times New Roman" w:hAnsi="Times New Roman"/>
                <w:b w:val="false"/>
                <w:bCs w:val="false"/>
                <w:i/>
                <w:iCs/>
                <w:sz w:val="24"/>
                <w:szCs w:val="24"/>
              </w:rPr>
              <w:t xml:space="preserve">– чому вибір проєктів для включення в портфель є стратегічним мистецтвом, а не простою арифметикою;</w:t>
            </w:r>
          </w:p>
          <w:p>
            <w:pPr>
              <w:spacing w:after="20" w:before="0" w:line="360"/>
              <w:ind/>
              <w:jc w:val="both"/>
            </w:pPr>
            <w:r>
              <w:rPr>
                <w:rFonts w:ascii="Times New Roman" w:cs="Times New Roman" w:eastAsia="Times New Roman" w:hAnsi="Times New Roman"/>
                <w:b w:val="false"/>
                <w:bCs w:val="false"/>
                <w:i/>
                <w:iCs/>
                <w:sz w:val="24"/>
                <w:szCs w:val="24"/>
              </w:rPr>
              <w:t xml:space="preserve">– які вісім критеріїв дозволяють порівнювати проєкти комплексно — від фінансів до ESG і синергії;</w:t>
            </w:r>
          </w:p>
          <w:p>
            <w:pPr>
              <w:spacing w:after="20" w:before="0" w:line="360"/>
              <w:ind/>
              <w:jc w:val="both"/>
            </w:pPr>
            <w:r>
              <w:rPr>
                <w:rFonts w:ascii="Times New Roman" w:cs="Times New Roman" w:eastAsia="Times New Roman" w:hAnsi="Times New Roman"/>
                <w:b w:val="false"/>
                <w:bCs w:val="false"/>
                <w:i/>
                <w:iCs/>
                <w:sz w:val="24"/>
                <w:szCs w:val="24"/>
              </w:rPr>
              <w:t xml:space="preserve">– як будується бальна система з вагами і як застосовуються стратегічні матриці BCG та GE/McKinsey;</w:t>
            </w:r>
          </w:p>
          <w:p>
            <w:pPr>
              <w:spacing w:after="60" w:before="0" w:line="360"/>
              <w:ind/>
              <w:jc w:val="both"/>
            </w:pPr>
            <w:r>
              <w:rPr>
                <w:rFonts w:ascii="Times New Roman" w:cs="Times New Roman" w:eastAsia="Times New Roman" w:hAnsi="Times New Roman"/>
                <w:b w:val="false"/>
                <w:bCs w:val="false"/>
                <w:i/>
                <w:iCs/>
                <w:sz w:val="24"/>
                <w:szCs w:val="24"/>
              </w:rPr>
              <w:t xml:space="preserve">– що таке реальні опціони і чому вони роблять оцінку інноваційних проєктів реалістичнішою за класичний NPV.</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7.1. Чому пріоритизація є стратегічним мистецтвом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Управління портфелем проєктів розвитку — це завжди не просто перелік ідей чи планів, а мистецтво вибору того, що справді просуне компанію вперед. Оскільки ресурси завжди обмежені — фінанси, люди, час, технології — організація змушена визначати, які ініціативи варто реалізовувати, а від яких слід тимчасово або назавжди відмовитись. Вибір пріоритетів без системного підходу перетворюється на «боротьбу за ресурси» між підрозділами, де перемагає той, хто голосніше лобіює свої ідеї, а не той, чий проєкт дійсно найефективніший.</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Системна пріоритизація вирішує три ключові управлінські задачі. По-перше, вона перетворює суб'єктивні переваги на об'єктивне порівняння: два проєкти з однаковим NPV можуть суттєво відрізнятися за стратегічною відповідністю, ризиками або ресурсомісткістю — і без формальної системи ця різниця залишається непоміченою. По-друге, вона забезпечує прозорість для стейкхолдерів: коли рішення обґрунтоване за 8 критеріями з чіткими вагами — акціонери, топ-менеджмент і команди бачать логіку вибору і можуть її оскаржити або погодитися з нею. По-третє, вона формує навчальний цикл: порівнюючи прогнозні бали з фактичними результатами завершених проєктів, компанія вдосконалює свою систему оцінки з кожним циклом планування.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Провідні міжнародні консалтингові компанії McKinsey та BCG описують подібні підходи як стандарт для зрілого корпоративного управління портфелем. За даними PMI Pulse of the Profession 2025, організації з формалізованими процесами відбору і пріоритизації проєктів втрачають у 2,5 рази менше ресурсів через провальні ініціативи порівняно з тими, що покладаються на інтуїцію та неформальне лобіювання.</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Статистика: вплив системної пріоритизації на результати портфеля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Організації з формалізованими процесами відбору проєктів втрачають у 2,5 рази менше інвестицій через провальні ініціативи (PMI,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45% компаній глобально не мають формальних критеріїв відбору проєктів у портфель — рішення приймаються ситуативно або на основі ієрархічного лобіювання (Gartner PMO Survey, 2024).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Компанії з зрілим Portfolio Management у 3 рази частіше досягають стратегічних цілей на рівні всієї організації (PMI Pulse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Michael Porter: «Сутність стратегії — це вибір того, що НЕ робити». Пріоритизація проєктів є практичним втіленням цього принципу.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PMI Pulse of the Profession 2025; Gartner PMO Survey 2024.</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7.1</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Пріоритизація без системного підходу = «боротьба за ресурси», де перемагає гучніший голос, а не найкращий проєкт.</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Три задачі системної пріоритизації: об'єктивне порівняння, прозорість для стейкхолдерів, навчальний цикл.</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45% компаній не мають формальних критеріїв відбору — це системна проблема ринку, а не виняток.</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Організації із зрілим Portfolio Management у 3 рази частіше досягають стратегічних цілей.</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7.2. Вісім критеріїв відбору пріоритетних проєктів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При оцінці ініціатив враховують кілька ключових вимірів. Системний підхід передбачає вісім критеріїв, що охоплюють як кількісні (фінансові), так і якісні (стратегічні, соціальні) виміри цінності проєкту. Застосування лише фінансових критеріїв — поширена і дорога помилка: проєкт із найвищим IRR може мати катастрофічну синергію з іншими ініціативами або ігнорувати критичні ризики.</w:t>
      </w:r>
    </w:p>
    <w:p>
      <w:pPr>
        <w:spacing w:after="120" w:before="240" w:line="360"/>
        <w:ind/>
        <w:jc w:val="both"/>
      </w:pPr>
      <w:r>
        <w:rPr>
          <w:rFonts w:ascii="Times New Roman" w:cs="Times New Roman" w:eastAsia="Times New Roman" w:hAnsi="Times New Roman"/>
          <w:b/>
          <w:bCs/>
          <w:i w:val="false"/>
          <w:iCs w:val="false"/>
          <w:sz w:val="28"/>
          <w:szCs w:val="28"/>
        </w:rPr>
        <w:t xml:space="preserve">Критерій 1. Стратегічна відповідність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Проєкт має посилювати цільову бізнес-модель і напряму підтримувати ключові цілі та результати (OKR). Перевірочне питання: чи наближає ця ініціатива компанію до того, ким вона хоче бути через 3–5 років? Проєкт, що не відповідає стратегії, може давати хороші фінансові показники в короткостроковій перспективі, але відволікати ресурси від дійсно важливих ініціатив. Наприклад, якщо стратегія компанії — лідерство в цифрових сервісах, то проєкт розширення фізичної мережі роздробу має нижчий стратегічний пріоритет, навіть якщо його IRR вища.</w:t>
      </w:r>
    </w:p>
    <w:p>
      <w:pPr>
        <w:spacing w:after="120" w:before="240" w:line="360"/>
        <w:ind/>
        <w:jc w:val="both"/>
      </w:pPr>
      <w:r>
        <w:rPr>
          <w:rFonts w:ascii="Times New Roman" w:cs="Times New Roman" w:eastAsia="Times New Roman" w:hAnsi="Times New Roman"/>
          <w:b/>
          <w:bCs/>
          <w:i w:val="false"/>
          <w:iCs w:val="false"/>
          <w:sz w:val="28"/>
          <w:szCs w:val="28"/>
        </w:rPr>
        <w:t xml:space="preserve">Критерій 2. Економіка проєкту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Фінансова оцінка охоплює NPV, IRR, ROI, Payback Period, а також вплив на маржу, витрати і грошові потоки по кварталах. Важливою є чутливість до ключових драйверів: ціни, курсу валют, вартості капіталу. Проєкт, що є прибутковим лише при оптимістичних припущеннях, несе суттєвий прихований ризик і має отримати нижчий бал за фінансовим критерієм порівняно з проєктом, що залишається прибутковим навіть у стресовому сценарії.</w:t>
      </w:r>
    </w:p>
    <w:p>
      <w:pPr>
        <w:spacing w:after="120" w:before="240" w:line="360"/>
        <w:ind/>
        <w:jc w:val="both"/>
      </w:pPr>
      <w:r>
        <w:rPr>
          <w:rFonts w:ascii="Times New Roman" w:cs="Times New Roman" w:eastAsia="Times New Roman" w:hAnsi="Times New Roman"/>
          <w:b/>
          <w:bCs/>
          <w:i w:val="false"/>
          <w:iCs w:val="false"/>
          <w:sz w:val="28"/>
          <w:szCs w:val="28"/>
        </w:rPr>
        <w:t xml:space="preserve">Критерій 3. Ризик і невизначеність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проєктах розвитку завжди є чинники, які складно передбачити: технологічна готовність (TRL — Technology Readiness Level), залежність від постачальників, регуляторні вимоги, кіберризики. Для оцінки застосовують сценарний аналіз: базовий (очікуваний розвиток подій), оптимістичний (найкращий можливий результат) і стресовий (падіння попиту, зростання цін на ресурси). Проєкти з вищою невизначеністю результату отримують нижчий бал за критерієм ризику — навіть якщо очікувана дохідність вища.</w:t>
      </w:r>
    </w:p>
    <w:p>
      <w:pPr>
        <w:spacing w:after="120" w:before="240" w:line="360"/>
        <w:ind/>
        <w:jc w:val="both"/>
      </w:pPr>
      <w:r>
        <w:rPr>
          <w:rFonts w:ascii="Times New Roman" w:cs="Times New Roman" w:eastAsia="Times New Roman" w:hAnsi="Times New Roman"/>
          <w:b/>
          <w:bCs/>
          <w:i w:val="false"/>
          <w:iCs w:val="false"/>
          <w:sz w:val="28"/>
          <w:szCs w:val="28"/>
        </w:rPr>
        <w:t xml:space="preserve">Критерій 4. Ресурсомісткість і «вузькі місця»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Важливо оцінювати, чи є у компанії достатньо рідкісних компетенцій і чи не перевантажені ключові підрозділи (наприклад, IT, юридичний або R&amp;D). Тут застосовується метод аналізу «capacity vs demand» — зіставлення доступної пропускної здатності команд і обладнання з вимогами всіх проєктів портфеля. Проєкт, що вимагає компетенцій, яких у компанії немає або які вже повністю завантажені іншими ініціативами, отримує нижчий пріоритет або потребує плану по залученню ресурсів іззовні.</w:t>
      </w:r>
    </w:p>
    <w:p>
      <w:pPr>
        <w:spacing w:after="120" w:before="240" w:line="360"/>
        <w:ind/>
        <w:jc w:val="both"/>
      </w:pPr>
      <w:r>
        <w:rPr>
          <w:rFonts w:ascii="Times New Roman" w:cs="Times New Roman" w:eastAsia="Times New Roman" w:hAnsi="Times New Roman"/>
          <w:b/>
          <w:bCs/>
          <w:i w:val="false"/>
          <w:iCs w:val="false"/>
          <w:sz w:val="28"/>
          <w:szCs w:val="28"/>
        </w:rPr>
        <w:t xml:space="preserve">Критерій 5. Швидкість і «опційність»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Проєкти, які можна реалізовувати поетапно, створюють «опційну цінність»: навіть у випадку зупинки компанія отримає певні вигоди і знання. Це підхід «реальних опціонів» (детально розглянутий у розділі 7.5): стартуємо з MVP (minimum viable product), тестуємо гіпотезу, і лише потім масштабуємо. Проєкти зі швидким початковим результатом (quick wins) і можливістю поетапної реалізації отримують вищий пріоритет при однакових фінансових показниках.</w:t>
      </w:r>
    </w:p>
    <w:p>
      <w:pPr>
        <w:spacing w:after="120" w:before="240" w:line="360"/>
        <w:ind/>
        <w:jc w:val="both"/>
      </w:pPr>
      <w:r>
        <w:rPr>
          <w:rFonts w:ascii="Times New Roman" w:cs="Times New Roman" w:eastAsia="Times New Roman" w:hAnsi="Times New Roman"/>
          <w:b/>
          <w:bCs/>
          <w:i w:val="false"/>
          <w:iCs w:val="false"/>
          <w:sz w:val="28"/>
          <w:szCs w:val="28"/>
        </w:rPr>
        <w:t xml:space="preserve">Критерій 6. Клієнтська та ринкова цінність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Йдеться про вплив на досвід клієнта: NPS (Net Promoter Score), швидкість обслуговування, бар'єри входу для конкурентів. Якщо новий сервіс піднімає задоволеність клієнтів і збільшує частку ринку — його пріоритет зростає. Для B2B-компаній клієнтська цінність вимірюється через тривалість контрактів і LTV/CAC (Lifetime Value / Customer Acquisition Cost). Зростання LTV/CAC з 2,5 до 3,5 — конкретний показник покращення клієнтської економіки проєкту.</w:t>
      </w:r>
    </w:p>
    <w:p>
      <w:pPr>
        <w:spacing w:after="120" w:before="240" w:line="360"/>
        <w:ind/>
        <w:jc w:val="both"/>
      </w:pPr>
      <w:r>
        <w:rPr>
          <w:rFonts w:ascii="Times New Roman" w:cs="Times New Roman" w:eastAsia="Times New Roman" w:hAnsi="Times New Roman"/>
          <w:b/>
          <w:bCs/>
          <w:i w:val="false"/>
          <w:iCs w:val="false"/>
          <w:sz w:val="28"/>
          <w:szCs w:val="28"/>
        </w:rPr>
        <w:t xml:space="preserve">Критерій 7. ESG, безпека і комплаєнс</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ESG (Environmental, Social, Governance) стає стандартом для інвесторів і регуляторів — особливо при доступі до ринків ЄС або залученні міжнародного капіталу. Проєкти, що не відповідають принципам сталого розвитку, можуть принести приховані ризики: штрафи регулятора, втрату репутації, відмову міжнародних інвесторів. Починаючи з 2025–2026 років дія CSRD (Corporate Sustainability Reporting Directive) ЄС поширюється на великі компанії, що мають доступ до ринків ЄС. Проєкти, що покращують ESG-профіль компанії, отримують додаткові бали.</w:t>
      </w:r>
    </w:p>
    <w:p>
      <w:pPr>
        <w:spacing w:after="120" w:before="240" w:line="360"/>
        <w:ind/>
        <w:jc w:val="both"/>
      </w:pPr>
      <w:r>
        <w:rPr>
          <w:rFonts w:ascii="Times New Roman" w:cs="Times New Roman" w:eastAsia="Times New Roman" w:hAnsi="Times New Roman"/>
          <w:b/>
          <w:bCs/>
          <w:i w:val="false"/>
          <w:iCs w:val="false"/>
          <w:sz w:val="28"/>
          <w:szCs w:val="28"/>
        </w:rPr>
        <w:t xml:space="preserve">Критерій 8. Взаємодія в портфелі (синергія)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Проєкти мають оцінюватися не ізольовано, а з погляду синергії з іншими ініціативами портфеля. Наприклад, запуск мобільного застосунку і нової CRM-системи можуть взаємно підсилювати одне одного — тоді їх сукупна цінність перевищує суму окремих NPV. Навпаки, два проєкти, що конкурують за одних і тих самих рідкісних спеціалістів, можуть блокувати один одного — і це необхідно враховувати при пріоритизації.</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7.1. Вісім критеріїв відбору пріоритетних проєктів розвитку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14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Критерій</w:t>
            </w:r>
          </w:p>
        </w:tc>
        <w:tc>
          <w:tcPr>
            <w:tcW w:type="dxa" w:w="2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Що оцінюється</w:t>
            </w:r>
          </w:p>
        </w:tc>
        <w:tc>
          <w:tcPr>
            <w:tcW w:type="dxa" w:w="2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Типові показники</w:t>
            </w:r>
          </w:p>
        </w:tc>
        <w:tc>
          <w:tcPr>
            <w:tcW w:type="dxa" w:w="14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Вага (приклад)</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 Стратегічна відповідність</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Зв'язок з OKR, бізнес-моделлю, стратегічними пріоритетами</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Частка стратегічних цілей, що підтримує проєкт (%)</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2. Економіка</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NPV, IRR, ROI, Payback Period, чутливість до ключових драйверів</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NPV (грн), IRR (%), Payback (роки)</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3. Ризик і невизначеність</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TRL, ринкові, регуляторні, кіберризики; стресовий сценарій</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Ймовірність провалу (%), діапазон NPV у сценаріях</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 Ресурсомісткість</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Потреба у рідкісних компетенціях; завантаженість ключових підрозділів</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Відсоток завантаження IT/R&amp;D/Legal (%), gap у компетенціях</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 Швидкість і опційність</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Time-to-first-value; можливість поетапної реалізації (MVP)</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Місяці до першого результату; наявність опцій розширення/згортання</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 Клієнтська цінність</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NPS, частка ринку, LTV/CAC, бар'єри для конкурентів</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NPS (бали), LTV/CAC, зростання ринкової частки (п.п.)</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 ESG і комплаєнс</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Відповідність ESG-стандартам, CSRD, регуляторним вимогам</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ESG-рейтинг, CO₂ (тонни), штрафні ризики (грн)</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×0,8</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8. Синергія в портфелі</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Взаємне підсилення або конкуренція з іншими проєктами портфеля</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Синергетичний NPV, конфлікти ресурсів</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×1,0</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тренінг-курсу І.О. Шапошнікової (КНУБА, 2026); PMBoK 7th ed. (PMI, 2021); McKinsey Portfolio Management Practices.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7.2</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8 критеріїв охоплюють повний спектр: від фінансів і стратегії до ризику, ресурсів, клієнтської цінності, ESG і синергії.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Стратегічна відповідність і економіка мають найвищі ваги (×1,5) — бо головне питання: чи наближає проєкт до стратегічних цілей і чи створює вартість.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Ризики і ресурсомісткість мають вагу ×1,2 — навіть ідеальний проєкт може провалитися без ресурсів або через непередбачені ризики.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ESG (×0,8): менша вага не означає меншу важливість — але у короткостроковій перспективі вона рідше є вирішальною при виборі між проєктами.</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7.3. Бальна система з вагами: практичний інструмент пріоритизації</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Найпоширеніший спосіб застосування восьми критеріїв — бальна система з вагами (Weighted Scoring Model). Кожен критерій оцінюється за шкалою 0–100 балів на основі фінансових розрахунків, експертних оцінок або порівняльного аналізу. Потім застосовуються вагові коефіцієнти, що відображають відносну важливість кожного критерію для конкретної компанії і ситуації. Зважені бали підсумовуються, отримуючи інтегральний пріоритетний рейтинг.</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Переваги методу: простота й прозорість — будь-який менеджер або комітет може зрозуміти, чому один проєкт вище за інший; універсальність — підходить для великих корпорацій і середнього бізнесу; гнучкість — компанія сама визначає ваги залежно від свого контексту (для стартапу «швидкість виходу на ринок» може мати вагу ×2, а для промислової компанії «ризик» — ×1,5).</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Три недоліки бальної системи, про які потрібно знати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1. Суб'єктивність: експерти можуть «натягувати» бали під свої інтереси або під проєкти своїх підрозділів. Рішення: зовнішня фасилітація оцінки або анонімне голосування.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2. Ризик «арифметичної пастки»: високий бал по одному критерію може «перекрити» критичний провал по іншому. Наприклад, проєкт із NPV=0 але блискучою стратегічною відповідністю може отримати вищий рейтинг, ніж проєкт із NPV&gt;0 але нижчою стратегічністю. Рішення: встановлювати «критичні пороги» — мінімальні бали, нижче яких проєкт автоматично виключається.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3. Вимагає зрілості компанії — інакше перетворюється на бюрократію без змісту. Для ефективного застосування потрібні: якісні вхідні дані, досвідчені оцінювачі і регулярне калібрування ваг.</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7.2. Приклад бальної оцінки трьох проєктів розвитку компанії</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2200"/>
        <w:gridCol w:w="2040"/>
      </w:tblGrid>
      <w:tr>
        <w:trPr>
          <w:tblHeader/>
        </w:trPr>
        <w:tc>
          <w:tcPr>
            <w:tcW w:type="dxa" w:w="24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Критерій</w:t>
            </w:r>
          </w:p>
        </w:tc>
        <w:tc>
          <w:tcPr>
            <w:tcW w:type="dxa" w:w="1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Вага</w:t>
            </w:r>
          </w:p>
        </w:tc>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Антикризовий (оптимізація SKU)</w:t>
            </w:r>
          </w:p>
        </w:tc>
        <w:tc>
          <w:tcPr>
            <w:tcW w:type="dxa" w:w="22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Інноваційний (мобільний додаток)</w:t>
            </w:r>
          </w:p>
        </w:tc>
        <w:tc>
          <w:tcPr>
            <w:tcW w:type="dxa" w:w="20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Інвестиційний (нова виробнича лінія)</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Стратегічна відповідність</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×1,5</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80 → 120</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70 → 105</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60 → 90</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Економіка (NPV, IRR, ROI)</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×1,5</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90 → 135 (ROI=140%, IRR≈90%)</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65 → 97,5 (NPV=$1,5M, IRR=35%)</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55 → 82,5 (NPV=$4M, IRR=18%)</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Ризик (нижче = краще)</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×1,2</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85 → 102 (низький ризик)</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60 → 72 (середній)</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50 → 60 (вищий капіталом.)</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Ресурсомісткість</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×1,2</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90 → 108 ($0,5 млн)</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70 → 84 ($2 млн)</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40 → 48 ($10 млн)</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Швидкість і опційність</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90 → 90 (результат за рік)</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75 → 75 (MVP за 6 міс.)</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40 → 40 (3–5 років)</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Клієнтська цінність</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60 → 60</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85 → 85 (LTV/CAC: 2,5→3,5)</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70 → 70 (бар'єри для конк.)</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ESG і комплаєнс</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×0,8</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70 → 56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75 → 60</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65 → 52</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Синергія в портфелі</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×1,0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65 → 65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80 → 80</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60 → 60</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ЗАГАЛЬНИЙ БАЛ</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736 балів</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658,5 балів</w:t>
            </w:r>
          </w:p>
        </w:tc>
        <w:tc>
          <w:tcPr>
            <w:tcW w:type="dxa" w:w="20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502,5 балів</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авторська розробка на основі тренінг-курсу І.О. Шапошнікової (КНУБА, 2026). Бали умовні, для ілюстрації методу.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Висновки з прикладу: антикризовий проєкт має найвищий пріоритет (736 балів) — бо швидко створює грошовий потік, має низький ризик і невисоку ресурсомісткість. Інноваційний проєкт — другий (658,5 балів): він посилює клієнтську цінність і стратегічну позицію, але потребує більших ресурсів і часу. Інвестиційний проєкт — третій (502,5 балів): попри значний NPV ($4 млн), він капіталомісткий ($10 млн), тривалий (3–5 років) і не має швидкого ефекту.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Практична рекомендація: антикризовий проєкт реалізується негайно і генерує грошовий потік, що фінансує інноваційний. Інвестиційний проєкт варто розпочати пізніше, коли з'являться вільні ресурси і стабілізується грошовий потік від двох перших.</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7.4. Стратегічні матриці: BCG і GE/McKinsey</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Бальна система добре працює для порівняння конкретних проєктів у поточному циклі планування. Але для стратегічного погляду на портфель у цілому — «де ми зараз і куди рухатися» — використовують стратегічні матриці. Два найпоширеніші інструменти: BCG-матриця і матриця GE/McKinsey.</w:t>
      </w:r>
    </w:p>
    <w:p>
      <w:pPr>
        <w:spacing w:after="120" w:before="240" w:line="360"/>
        <w:ind/>
        <w:jc w:val="both"/>
      </w:pPr>
      <w:r>
        <w:rPr>
          <w:rFonts w:ascii="Times New Roman" w:cs="Times New Roman" w:eastAsia="Times New Roman" w:hAnsi="Times New Roman"/>
          <w:b/>
          <w:bCs/>
          <w:i w:val="false"/>
          <w:iCs w:val="false"/>
          <w:sz w:val="28"/>
          <w:szCs w:val="28"/>
        </w:rPr>
        <w:t xml:space="preserve">7.4.1. BCG-матриця (Boston Consulting Group, 1970)</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BCG-матриця — двовимірна модель, що класифікує бізнес-одиниці або продукти за двома критеріями: темпами зростання ринку (вертикальна вісь) і відносною часткою ринку (горизонтальна вісь). Чотири квадранти: «Зірки» (Stars) — висока частка + швидкий ріст: лідери, що потребують інвестицій для підтримки позицій. «Дійні корови» (Cash Cows) — висока частка + повільний ріст: генерують надлишковий грошовий потік, що фінансує інші ініціативи. «Знаки питання» (Question Marks) — низька частка + швидкий ріст: потребують рішення: інвестувати для перетворення в зірку або виходити. «Собаки» (Dogs) — низька частка + повільний ріст: кандидати на виведення з портфеля або реструктуризацію.</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BCG добра для швидкого первинного скринінгу портфеля — але надто проста для ухвалення остаточних рішень. Вона ігнорує синергію між бізнес-одиницями, не враховує абсолютний розмір ринку і не диференціює проміжні стани між квадрантами.</w:t>
      </w:r>
    </w:p>
    <w:p>
      <w:pPr>
        <w:spacing w:after="120" w:before="240" w:line="360"/>
        <w:ind/>
        <w:jc w:val="both"/>
      </w:pPr>
      <w:r>
        <w:rPr>
          <w:rFonts w:ascii="Times New Roman" w:cs="Times New Roman" w:eastAsia="Times New Roman" w:hAnsi="Times New Roman"/>
          <w:b/>
          <w:bCs/>
          <w:i w:val="false"/>
          <w:iCs w:val="false"/>
          <w:sz w:val="28"/>
          <w:szCs w:val="28"/>
        </w:rPr>
        <w:t xml:space="preserve">7.4.2. Матриця GE/McKinsey (1970-ті)</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Матриця GE/McKinsey була розроблена на замовлення General Electric компанією McKinsey &amp; Company як більш нюансована альтернатива BCG. GE управляла складним портфелем непов'язаних продуктів і потребувала інструменту, що враховує більше чинників, ніж два простих проксі BCG. Результат — матриця 3×3 (дев'ять клітинок) за двома складеними осями.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Вісь «Привабливість галузі» (Industry Attractiveness) оцінює зовнішнє середовище через: розмір і темпи зростання ринку, прибутковість і конкурентну інтенсивність (Porter's Five Forces), регуляторне середовище, технологічні тенденції. Вісь «Конкурентна сила бізнес-одиниці» (Business Unit Strength) оцінює внутрішній потенціал через: ринкову частку, силу бренду, лояльність клієнтів, компетенції та технологічну готовність (тут корисним є VRIO-аналіз з лекції 6).</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60" w:line="360"/>
        <w:ind/>
        <w:jc w:val="left"/>
      </w:pPr>
      <w:r>
        <w:rPr>
          <w:rFonts w:ascii="Times New Roman" w:cs="Times New Roman" w:eastAsia="Times New Roman" w:hAnsi="Times New Roman"/>
          <w:b w:val="false"/>
          <w:bCs w:val="false"/>
          <w:i/>
          <w:iCs/>
          <w:sz w:val="24"/>
          <w:szCs w:val="24"/>
        </w:rPr>
        <w:t xml:space="preserve">Таблиця 7.3. Матриця GE/McKinsey: дев'ять клітинок і стратегічні рішення</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640"/>
      </w:tblGrid>
      <w:tr>
        <w:trPr>
          <w:tblHeader/>
        </w:trPr>
        <w:tc>
          <w:tcPr>
            <w:tcW w:type="dxa" w:w="20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Конкурентна сила →</w:t>
            </w:r>
          </w:p>
        </w:tc>
        <w:tc>
          <w:tcPr>
            <w:tcW w:type="dxa" w:w="25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Висока</w:t>
            </w:r>
          </w:p>
        </w:tc>
        <w:tc>
          <w:tcPr>
            <w:tcW w:type="dxa" w:w="25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Середня</w:t>
            </w:r>
          </w:p>
        </w:tc>
        <w:tc>
          <w:tcPr>
            <w:tcW w:type="dxa" w:w="26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vAlign w:val="center"/>
          </w:tcPr>
          <w:p>
            <w:pPr>
              <w:spacing w:after="40" w:before="40" w:line="360"/>
              <w:ind/>
              <w:jc w:val="center"/>
            </w:pPr>
            <w:r>
              <w:rPr>
                <w:rFonts w:ascii="Times New Roman" w:cs="Times New Roman" w:eastAsia="Times New Roman" w:hAnsi="Times New Roman"/>
                <w:b/>
                <w:bCs/>
                <w:i w:val="false"/>
                <w:iCs w:val="false"/>
                <w:sz w:val="24"/>
                <w:szCs w:val="24"/>
              </w:rPr>
              <w:t xml:space="preserve">Низька</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Висока приваб-ливість</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Інвестувати й зростати. Пріоритет капіталу, інновацій, розширення</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Вибірково інвестувати. Усунути слабкості там, де є шлях до лідерства</w:t>
            </w:r>
          </w:p>
        </w:tc>
        <w:tc>
          <w:tcPr>
            <w:tcW w:type="dxa" w:w="2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Інвестувати вибірково або виходити. Входити лише за унікальних переваг</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Середня приваб-ливість</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Захищати і оптимізувати. Збирати грошовий потік, вибірково інноваційно</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Управляти задля вартості. Покращувати економіку, фокус на нішах</w:t>
            </w:r>
          </w:p>
        </w:tc>
        <w:tc>
          <w:tcPr>
            <w:tcW w:type="dxa" w:w="2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Збирати / скорочувати. Мінімальні інвестиції, пошук точок виходу</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Низька приваб-ливість</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Збирати / виводити. Максимізувати грошовий потік, готуватись до виходу</w:t>
            </w:r>
          </w:p>
        </w:tc>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Виводити з мінімальними втратами. Реструктуризація або продаж</w:t>
            </w:r>
          </w:p>
        </w:tc>
        <w:tc>
          <w:tcPr>
            <w:tcW w:type="dxa" w:w="26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Виводити. Продати або ліквідувати; ресурси перенаправити на кращі можливості</w:t>
            </w:r>
          </w:p>
        </w:tc>
      </w:tr>
    </w:tbl>
    <w:p>
      <w:pPr>
        <w:spacing w:after="120" w:before="60" w:line="360"/>
        <w:ind/>
        <w:jc w:val="left"/>
      </w:pPr>
      <w:r>
        <w:rPr>
          <w:rFonts w:ascii="Times New Roman" w:cs="Times New Roman" w:eastAsia="Times New Roman" w:hAnsi="Times New Roman"/>
          <w:b w:val="false"/>
          <w:bCs w:val="false"/>
          <w:i/>
          <w:iCs/>
          <w:sz w:val="24"/>
          <w:szCs w:val="24"/>
        </w:rPr>
        <w:t xml:space="preserve">Джерело: адаптовано з McKinsey Quarterly «Enduring Ideas: The GE-McKinsey Nine-Box Matrix» (2008); UKEssays GE Matrix Guide (2025).</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Матриця GE/McKinsey є більш нюансованою порівняно з BCG, але складнішою у побудові: потребує зважування численних факторів і може бути суб'єктивною. Ключовий практичний урок: матриця не повинна бути «кінцевою зупинкою» — вона відповідає на питання «куди рухатися», але не «як саме рухатися». Після позиціонування у матриці потрібна деталізована стратегія реалізації (roadmap, бізнес-кейс, план ресурсів).</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GE/McKinsey для портфеля Nova Post Group</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Nova Post Europe (логістика в ЄС): висока привабливість ринку (зростання e-commerce + 6 млн+ українців) + середня конкурентна сила (сильний бренд серед діаспори, але обмежена впізнаваність серед місцевих) → «Вибірково інвестувати»: поглиблення в прибуткових ринках (Польща, Молдова) з обережним виходом у нові.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NovaPay (фінтех-продукт): висока привабливість (зростання digital payments + інтегрований канал) + висока конкурентна сила (вже 35 000+ відділень як touchpoints) → «Інвестувати й зростати»: масштабування функцій, R&amp;D нових фінансових продуктів.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Традиційна кур'єрська доставка по Україні: середня привабливість (зрілий ринок) + висока конкурентна сила (лідер ринку) → «Захищати і оптимізувати»: автоматизація, зниження витрат, утримання позицій без масштабних нових інвестицій.</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авторська інтерпретація; Forbes Ukraine 2026; Nova Post ESG Report 2023.</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7.4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BCG: швидкий скринінг портфеля через 4 квадранти (Зірки, Корови, Знаки питання, Собаки). Проста, але надто груба для остаточних рішень.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GE/McKinsey: 9-клітинкова матриця з двома складеними осями — привабливість галузі і конкурентна сила. Розроблена McKinsey для General Electric у 1970-х; використовується провідними корпораціями до сьогодні.</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Обидві матриці — не вирок, а орієнтир: вони визначають «куди рухатись», але потребують деталізованої стратегії реалізації.</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GE/McKinsey і VRIO — природне поєднання: VRIO оцінює джерела конкурентної сили для позиціонування по горизонтальній осі матриці.</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7.5. Реальні опціони: оцінка гнучкості інноваційних проєктів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Класичний підхід до оцінки проєктів (NPV, IRR) трактує інвестицію як «жорстке» рішення: вклали — і чекаємо результату. Але реальні проєкти розвитку, особливо інноваційні та довгострокові, мають принципово іншу природу: компанія може зупинити, розширити, відкласти або перепрофілювати ініціативу в процесі реалізації залежно від нових даних. Класичний NPV не враховує цю «вартість гнучкості» — і тому систематично недооцінює інноваційні проєкти з високою невизначеністю.</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Реальні опціони переносять логіку фінансових опціонів у світ інвестиційних і бізнес-проєктів: ми оцінюємо проєкт як набір прав і можливостей (опцій), якими компанія може скористатися або відмовитися від них залежно від розвитку ситуації. Метод реальних опціонів дозволяє бачити розвиток як систему траєкторій, а не як один жорсткий сценарій.</w:t>
      </w:r>
    </w:p>
    <w:p>
      <w:pPr>
        <w:spacing w:after="120" w:before="240" w:line="360"/>
        <w:ind/>
        <w:jc w:val="both"/>
      </w:pPr>
      <w:r>
        <w:rPr>
          <w:rFonts w:ascii="Times New Roman" w:cs="Times New Roman" w:eastAsia="Times New Roman" w:hAnsi="Times New Roman"/>
          <w:b/>
          <w:bCs/>
          <w:i w:val="false"/>
          <w:iCs w:val="false"/>
          <w:sz w:val="28"/>
          <w:szCs w:val="28"/>
        </w:rPr>
        <w:t xml:space="preserve">П'ять типів реальних опціонів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Option to Expand (опція розширення) — якщо проєкт успішний, компанія може інвестувати більше і масштабувати. Наприклад: пілотний завод із відновлюваною енергією, який можна розширити до повного виробництва після підтвердження технічної та фінансової спроможності.</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Option to Defer (опція відкласти) — почати пізніше, коли з'ясується ситуація на ринку або коли зменшиться невизначеність. Наприклад: інвестиції у новий регіон не зараз, а через 2 роки, коли з'являться дані про купівельну спроможність і поведінку конкурентів.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Option to Abandon (опція згорнути) — припинити проєкт і мінімізувати втрати. Наприклад: стартап закриває MVP, якщо кількість активних користувачів за 3 місяці не досягла критичного порогу.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Option to Switch (опція зміни використання ресурсів) — перенаправити виробничу лінію або команду на інший продукт. Наприклад: фабрика може виробляти і соки, і енергетики, переключаючись залежно від сезонного попиту.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Compound Options (складені опціони) — коли один крок відкриває нові можливості: R&amp;D → патент → запуск продукту → ліцензування або франшиза. Кожна стадія є умовою для наступної, але й дає право відмовитися від продовження.</w:t>
      </w:r>
    </w:p>
    <w:p>
      <w:pPr>
        <w:spacing w:after="120" w:before="240" w:line="360"/>
        <w:ind/>
        <w:jc w:val="both"/>
      </w:pPr>
      <w:r>
        <w:rPr>
          <w:rFonts w:ascii="Times New Roman" w:cs="Times New Roman" w:eastAsia="Times New Roman" w:hAnsi="Times New Roman"/>
          <w:b/>
          <w:bCs/>
          <w:i w:val="false"/>
          <w:iCs w:val="false"/>
          <w:sz w:val="28"/>
          <w:szCs w:val="28"/>
        </w:rPr>
        <w:t xml:space="preserve">Розрахунковий приклад: пілот як реальний опціон</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Компанія розглядає вихід на новий ринок. Два варіанти: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Варіант А — повна інвестиція зараз: $10 млн. Прогноз: якщо ринок розвивається добре (ймовірність 50%) → NPV = $15 млн; якщо погано (50%) → NPV = –$5 млн. Класичний очікуваний NPV = 0,5 × 15 + 0,5 × (–5) = $5 млн.</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Варіант Б — пілот (опція розширення): $2 млн зараз. Через 2 роки — рішення: якщо ринок успішний → вкладаємо ще $8 млн і отримуємо NPV $15 млн; якщо поганий → відмовляємося і втрачаємо лише $2 млн.</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Вартість опції пілоту = (0,5 × 15) – (0,5 × 0) – 2 = $7,5 – $2 = $5,5 млн. Варіант Б вигідніший: NPV на $0,5 млн вище, але — і це ключове — максимальні втрати обмежені $2 млн замість $5 млн. Вартість гнучкості = зниження ризику при збереженні потенційної вигоди.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Де застосовуються реальні опціони (галузі та типи проєктів)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R&amp;D (фармацевтика, IT): тестують MVP або молекулу перед масштабним клінічним дослідженням чи продуктовим запуском.</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Інфраструктурні проєкти: будівництво першої черги з опцією добудови наступних черг залежно від попиту.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Енергетика: гнучкі інвестиції у відновлювану генерацію залежно від динаміки цін на електроенергію і вартості капіталу.</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Стартапи і технологічні компанії: вихід у нові сегменти з можливістю швидкого згортання при відсутності product-market fit.</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Виробництво: модульне обладнання, що дозволяє переключатися між продуктами залежно від ринкової кон'юнктури.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Особливо важливі для інноваційних і довгострокових проєктів розвитку, де невизначеність висока, але потенціал значний.</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Приклад. Nova Post: реальний опціон у програмі European expansion</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Nova Post свідомо застосовувала логіку реальних опціонів при побудові мережі в ЄС: замість масштабного одночасного виходу в усі країни — поетапне тестування.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2022: мінімальні інвестиції у Польщу і Молдову (Option to Expand від потоків переселенців).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2023: підтвердження попиту → розширення у нові країни (Чехія, Латвія, Румунія та ін.).</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2024–2025: підтвердження прибутковості у 4 країнах → масштабна інвестиція €10 млн у 2025 рік, подвоєння мережі до 800 відділень.</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Якби компанія одразу інвестувала €50 млн у всі 16 країн одночасно і частина ринків виявилася нерентабельною — втрати були б значно більшими. Поетапна стратегія обмежила ризик і дозволила перенаправити ресурси у найуспішніші ринки.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Джерело: Forbes Ukraine, лютий 2026; open4business.com.ua.</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7.5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Класичний NPV недооцінює інноваційні проєкти: не враховує вартість гнучкості (право розширити, відкласти, згорнути, переключити).</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5 типів реальних опціонів: Expand, Defer, Abandon, Switch, Compound.</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Розрахунок: пілот ($2 млн) vs повна інвестиція ($10 млн) — очікуваний NPV вищий при пілоті ($5,5 vs $5 млн) і максимальні втрати нижчі ($2 vs $5 млн).</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Реальні опціони — стандарт для фармацевтики, IT, енергетики та будь-яких довгострокових проєктів з високою невизначеністю.</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7.6. Типові помилки при пріоритизації та найкращі практики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Навіть найбільш досвідчені команди припускаються системних помилок при відборі і пріоритизації проєктів. Знання цих помилок — перший крок до їх уникнення.</w:t>
      </w:r>
    </w:p>
    <w:p>
      <w:pPr>
        <w:spacing w:after="120" w:before="240" w:line="360"/>
        <w:ind/>
        <w:jc w:val="both"/>
      </w:pPr>
      <w:r>
        <w:rPr>
          <w:rFonts w:ascii="Times New Roman" w:cs="Times New Roman" w:eastAsia="Times New Roman" w:hAnsi="Times New Roman"/>
          <w:b/>
          <w:bCs/>
          <w:i w:val="false"/>
          <w:iCs w:val="false"/>
          <w:sz w:val="28"/>
          <w:szCs w:val="28"/>
        </w:rPr>
        <w:t xml:space="preserve">Типові помилки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Орієнтація лише на IRR без урахування масштабу і синергії — проєкт із IRR 90% і бюджетом $0,5 млн не замінює проєкт із IRR 18% і бюджетом $10 млн, якщо другий формує стратегічні бар'єри для конкурентів на 5 років. Максимізація IRR в ізоляції є неповноцінним критерієм відбору.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Відсутність критичних порогів для інноваційних проєктів — бальна система може дати проєкту з від'ємним NPV при стресовому сценарії прохідний рейтинг через високі оцінки за стратегічністю і клієнтською цінністю. Необхідно встановлювати абсолютні критерії відсіву.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Недооцінка ресурсних обмежень — два паралельних проєкти, що конкурують за одних і тих самих рідкісних спеціалістів (наприклад, ML-інженерів або регуляторних юристів), блокують один одного в реалізації. Без аналізу capacity vs demand портфель є неможливим.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Ігнорування ESG і регуляторних вимог — проєкти, що не відповідають CSRD або іншим регуляторним стандартам, несуть приховані штрафні ризики, що суттєво знижують реальний ROI.</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Надмірна стабільність критеріїв у часі — бальна система з вагами, розроблена три роки тому, може не відображати поточні стратегічні пріоритети компанії. Критерії і ваги мають переглядатися щороку або при суттєвій зміні стратегії.</w:t>
      </w:r>
    </w:p>
    <w:p>
      <w:pPr>
        <w:spacing w:after="120" w:before="240" w:line="360"/>
        <w:ind/>
        <w:jc w:val="both"/>
      </w:pPr>
      <w:r>
        <w:rPr>
          <w:rFonts w:ascii="Times New Roman" w:cs="Times New Roman" w:eastAsia="Times New Roman" w:hAnsi="Times New Roman"/>
          <w:b/>
          <w:bCs/>
          <w:i w:val="false"/>
          <w:iCs w:val="false"/>
          <w:sz w:val="28"/>
          <w:szCs w:val="28"/>
        </w:rPr>
        <w:t xml:space="preserve">Найкращі практики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Регулярне калібрування критеріїв — щороку або при зміні стратегії проводити сесію топ-менеджменту для перегляду критеріїв і ваг. Порівнювати прогнозні бали завершених проєктів із фактичними результатами.</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Комбінування кількох методів — жоден метод не є самодостатнім. Оптимальна система поєднує: бальну оцінку за 8 критеріями + стратегічну матрицю GE/McKinsey для портфельного погляду + реальні опціони для інноваційних ініціатив.</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Встановлення критичних порогів — визначити мінімальні умови, без яких проєкт не розглядається: наприклад, NPV &gt; 0 при базовому сценарії і NPV &gt; –10% при стресовому; або DSCR ≥ 1,25 для проєктів із залученим фінансуванням.</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Прозорість процесу для всіх стейкхолдерів — публікувати критерії і результати оцінки на інвестиційних комітетах. Це знижує суб'єктивність і підвищує відповідальність.</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Agile-підхід до пріоритизації портфеля — у середовищі швидких змін переглядати портфель щоквартально, а не раз на рік. Проєкти, що втрачають актуальність, мають бути зупинені або переосмислені, не чекаючи завершення річного циклу.</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Найкращі практики лідерів портфельного управління (Gartner / PMI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Організації, що переглядають портфель щоквартально, на 35% рідше продовжують проєкти, що втратили стратегічну актуальність (Gartner PMO Survey 2024).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Компанії з формальними критеріями відсіву («абсолютні пороги») витрачають на 28% менше ресурсів на ініціативи, що ніколи не мали шансів на успіх (PMI, 2025).</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Використання реальних опціонів у фармацевтиці та IT підвищує точність оцінки R&amp;D-портфелів на 40% порівняно з класичним DCF-аналізом (MIT Sloan Management Review, 2024).</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Джерела: Gartner PMO Survey 2024; PMI Pulse 2025; MIT Sloan Management Review 2024.</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000000" w:sz="4"/>
              <w:left w:val="single" w:color="000000" w:sz="4"/>
              <w:bottom w:val="single" w:color="000000" w:sz="4"/>
              <w:right w:val="single" w:color="000000" w:sz="4"/>
            </w:tcBorders>
            <w:tcMar>
              <w:top w:type="dxa" w:w="100"/>
              <w:left w:type="dxa" w:w="160"/>
              <w:bottom w:type="dxa" w:w="100"/>
              <w:right w:type="dxa" w:w="160"/>
            </w:tcMar>
          </w:tcPr>
          <w:p>
            <w:pPr>
              <w:spacing w:after="60" w:before="60" w:line="360"/>
              <w:ind/>
              <w:jc w:val="both"/>
            </w:pPr>
            <w:r>
              <w:rPr>
                <w:rFonts w:ascii="Times New Roman" w:cs="Times New Roman" w:eastAsia="Times New Roman" w:hAnsi="Times New Roman"/>
                <w:b/>
                <w:bCs/>
                <w:i w:val="false"/>
                <w:iCs w:val="false"/>
                <w:sz w:val="24"/>
                <w:szCs w:val="24"/>
              </w:rPr>
              <w:t xml:space="preserve">✅ Підсумок розділу 7.6</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5 типових помилок: лише IRR, відсутність порогів, ігнорування ресурсів, ігнорування ESG, застарілі ваги критеріїв.</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5 найкращих практик: калібрування критеріїв + комбінування методів + критичні пороги + прозорість + Agile-перегляд портфеля.</w:t>
            </w:r>
          </w:p>
          <w:p>
            <w:pPr>
              <w:spacing w:after="40" w:before="40" w:line="360"/>
              <w:ind/>
              <w:jc w:val="both"/>
            </w:pPr>
            <w:r>
              <w:rPr>
                <w:rFonts w:ascii="Times New Roman" w:cs="Times New Roman" w:eastAsia="Times New Roman" w:hAnsi="Times New Roman"/>
                <w:b w:val="false"/>
                <w:bCs w:val="false"/>
                <w:i w:val="false"/>
                <w:iCs w:val="false"/>
                <w:sz w:val="24"/>
                <w:szCs w:val="24"/>
              </w:rPr>
              <w:t xml:space="preserve">– Поєднання бальної системи + GE/McKinsey + реальні опціони: оптимальна система пріоритизації для зрілої компанії.</w:t>
            </w:r>
          </w:p>
        </w:tc>
      </w:tr>
    </w:tbl>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Питання для обговорення та практичні завдання</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1. Компанія A відбирає проєкти виключно за IRR (береться проєкт із найвищим IRR). Компанія B використовує бальну систему за 8 критеріями. Обидві компанії мають однаковий бюджет і знаходяться в одній галузі. Яка компанія через 5 років матиме кращу стратегічну позицію? Обґрунтуйте через конкретний сценарій.</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2. Практичне завдання (командне): у вашій компанії 5 проєктів-кандидатів у портфель із однаковим сукупним бюджетом $15 млн, але обмеженим ресурсом IT-команди (лише 20 FTE на рік). Застосуйте бальну систему за 8 критеріями і аналіз «capacity vs demand», щоб відібрати оптимальний портфель із 2–3 проєктів. Запропонуйте ваги критеріїв і обґрунтуйте їх.</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3. Позиціонуйте три проєкти з практичного прикладу лекції (антикризовий, інноваційний, інвестиційний) у матриці GE/McKinsey. Визначте стратегічне рішення для кожного (Інвестувати/Захищати/Виводити). Чи збігається результат матриці з результатом бальної системи? Якщо ні — чому?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4. Розрахуйте вартість реального опціону для такого проєкту: повна інвестиція — $5 млн; пілот — $1 млн зараз + $4 млн пізніше; ймовірність успіху — 60%; NPV при успіху — $8 млн; NPV при невдачі — –$3 млн. Порівняйте з класичним NPV без пілоту. Що вигідніше?</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5. Фінальна дискусія: компанія має три ініціативи — (а) антикризова оптимізація з ROI 140% і NPV $0,7 млн; (б) стратегічний вихід у ЄС з NPV $4 млн, але окупністю 4 роки; (в) ESG-проєкт зниження CO₂ без прямого фінансового результату, але критичний для доступу до ринків ЄС. Як розподілити ресурси? Хто з цих трьох має найвищий пріоритет і чому?</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Загальний підсумок Лекції 7 та всього курсу</w:t>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У цій лекції ми завершили курс «Обґрунтування проєктів розвитку компанії», розглянувши механізм, що пов'язує всі попередні теми в єдину систему: критерії і методи вибору пріоритетних проєктів.</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Системна пріоритизація (7.1): організації із зрілим Portfolio Management у 3 рази частіше досягають стратегічних цілей. 45% компаній не мають формальних критеріїв — системна проблема галузі.</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8 критеріїв (7.2): стратегія (×1,5) + економіка (×1,5) + ризик (×1,2) + ресурси (×1,2) + швидкість + клієнт + ESG (×0,8) + синергія. Кожен є необхідним; використання лише фінансових — дорога помилка.</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Бальна система з вагами (7.3): антикризовий — 736 балів, інноваційний — 658,5, інвестиційний — 502,5. Практичний висновок: швидкі перемоги фінансують довгострокові ставки.</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BCG і GE/McKinsey (7.4): BCG — 4 квадранти для швидкого скринінгу; GE/McKinsey — 9 клітинок з вагованими осями для стратегічного портфельного рішення. GE McKinsey розроблена McKinsey для General Electric у 1970-х; використовується до сьогодні.</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Реальні опціони (7.5): пілот $2 млн дає NPV $5,5 млн проти $5 млн при повній інвестиції $10 млн — і обмежує максимальні втрати $2 млн замість $5 млн. Вартість гнучкості є реальним і вимірюваним активом.</w:t>
      </w:r>
    </w:p>
    <w:p>
      <w:pPr>
        <w:pStyle w:val="ListParagraph"/>
        <w:numPr>
          <w:ilvl w:val="0"/>
          <w:numId w:val="2"/>
        </w:numPr>
        <w:spacing w:after="60" w:before="60" w:line="360"/>
      </w:pPr>
      <w:r>
        <w:rPr>
          <w:rFonts w:ascii="Times New Roman" w:cs="Times New Roman" w:eastAsia="Times New Roman" w:hAnsi="Times New Roman"/>
          <w:b w:val="false"/>
          <w:bCs w:val="false"/>
          <w:i w:val="false"/>
          <w:iCs w:val="false"/>
          <w:sz w:val="24"/>
          <w:szCs w:val="24"/>
        </w:rPr>
        <w:t xml:space="preserve">Типові помилки і практики (7.6): максимізація IRR в ізоляції + ігнорування ресурсних обмежень + відсутність критичних порогів + застарілі ваги = системний провал портфеля.</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Ключові поняття курсу: проєкт розвитку, ЖЦ проєкту, BSC, KPI, SMART, WBS, RAID, SWOT, PEST, VRIO, ФЕО, CAPEX, OPEX, NPV, IRR, PI, DSCR, реальні опціони, BMC, матриця Ансоффа, BCG, GE/McKinsey, Change Management, Kotter, Tuckman, портфель проєктів, PMO, бальна система з вагами, ESG, CSRD.</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20" w:before="120" w:line="360"/>
        <w:ind w:firstLine="720"/>
        <w:jc w:val="both"/>
      </w:pPr>
      <w:r>
        <w:rPr>
          <w:rFonts w:ascii="Times New Roman" w:cs="Times New Roman" w:eastAsia="Times New Roman" w:hAnsi="Times New Roman"/>
          <w:b w:val="false"/>
          <w:bCs w:val="false"/>
          <w:i w:val="false"/>
          <w:iCs w:val="false"/>
          <w:sz w:val="28"/>
          <w:szCs w:val="28"/>
        </w:rPr>
        <w:t xml:space="preserve">Цей курс дав системне розуміння повного циклу обґрунтування і управління проєктами розвитку — від аналізу середовища і стратегічного планування до кількісної оцінки, практичної реалізації і відбору пріоритетів. Використовуйте ці знання для прийняття обґрунтованих управлінських рішень — тих, що ґрунтуються на даних, стратегічному баченні і розумінні реального контексту.</w:t>
      </w:r>
    </w:p>
    <w:p>
      <w:pPr>
        <w:spacing w:after="0" w:before="0" w:line="360"/>
        <w:ind/>
        <w:jc w:val="both"/>
      </w:pPr>
      <w:r>
        <w:rPr>
          <w:rFonts w:ascii="Times New Roman" w:cs="Times New Roman" w:eastAsia="Times New Roman" w:hAnsi="Times New Roman"/>
          <w:b w:val="false"/>
          <w:bCs w:val="false"/>
          <w:i w:val="false"/>
          <w:iCs w:val="false"/>
          <w:sz w:val="28"/>
          <w:szCs w:val="28"/>
        </w:rPr>
        <w:t xml:space="preserve"/>
      </w:r>
    </w:p>
    <w:p>
      <w:pPr>
        <w:spacing w:after="180" w:before="300" w:line="360"/>
        <w:ind/>
        <w:jc w:val="both"/>
      </w:pPr>
      <w:r>
        <w:rPr>
          <w:rFonts w:ascii="Times New Roman" w:cs="Times New Roman" w:eastAsia="Times New Roman" w:hAnsi="Times New Roman"/>
          <w:b/>
          <w:bCs/>
          <w:i w:val="false"/>
          <w:iCs w:val="false"/>
          <w:sz w:val="30"/>
          <w:szCs w:val="30"/>
        </w:rPr>
        <w:t xml:space="preserve">Рекомендована література до Лекції 7 та курсу загалом</w:t>
      </w:r>
    </w:p>
    <w:p>
      <w:pPr>
        <w:spacing w:after="120" w:before="240" w:line="360"/>
        <w:ind/>
        <w:jc w:val="both"/>
      </w:pPr>
      <w:r>
        <w:rPr>
          <w:rFonts w:ascii="Times New Roman" w:cs="Times New Roman" w:eastAsia="Times New Roman" w:hAnsi="Times New Roman"/>
          <w:b/>
          <w:bCs/>
          <w:i w:val="false"/>
          <w:iCs w:val="false"/>
          <w:sz w:val="28"/>
          <w:szCs w:val="28"/>
        </w:rPr>
        <w:t xml:space="preserve">Основна:</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 Project Management Institute. A Guide to the Project Management Body of Knowledge (PMBoK Guide). 7th ed. — Newtown Square: PMI, 2021.</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2. Kaplan R.S., Norton D.P. The Balanced Scorecard. — Boston: Harvard Business School Press, 1996.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3. Osterwalder A., Pigneur Y. Business Model Generation. — Hoboken: Wiley, 2010.</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4. Barney J.B. Looking Inside for Competitive Advantage. Academy of Management Executive, 1995.</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5. Kotter J.P. Leading Change. — Boston: Harvard Business Review Press, 2012.</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6. Шапошнікова І.О. Обґрунтування проєктів розвитку компанії: тренінг-курс. — К.: КНУБА, 2026.</w:t>
      </w:r>
    </w:p>
    <w:p>
      <w:pPr>
        <w:spacing w:after="120" w:before="240" w:line="360"/>
        <w:ind/>
        <w:jc w:val="both"/>
      </w:pPr>
      <w:r>
        <w:rPr>
          <w:rFonts w:ascii="Times New Roman" w:cs="Times New Roman" w:eastAsia="Times New Roman" w:hAnsi="Times New Roman"/>
          <w:b/>
          <w:bCs/>
          <w:i w:val="false"/>
          <w:iCs w:val="false"/>
          <w:sz w:val="28"/>
          <w:szCs w:val="28"/>
        </w:rPr>
        <w:t xml:space="preserve">Стратегічні матриці та портфельне управління:</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7. McKinsey Quarterly. Enduring Ideas: The GE-McKinsey Nine-Box Matrix. — September 2008.</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8. Ansoff H.I. Strategies for Diversification. Harvard Business Review, 1957.</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9. Gartner. PMO Survey 2024: Portfolio Prioritization Practices. — Gartner, 2024.</w:t>
      </w:r>
    </w:p>
    <w:p>
      <w:pPr>
        <w:spacing w:after="120" w:before="240" w:line="360"/>
        <w:ind/>
        <w:jc w:val="both"/>
      </w:pPr>
      <w:r>
        <w:rPr>
          <w:rFonts w:ascii="Times New Roman" w:cs="Times New Roman" w:eastAsia="Times New Roman" w:hAnsi="Times New Roman"/>
          <w:b/>
          <w:bCs/>
          <w:i w:val="false"/>
          <w:iCs w:val="false"/>
          <w:sz w:val="28"/>
          <w:szCs w:val="28"/>
        </w:rPr>
        <w:t xml:space="preserve">Реальні опціони та фінанси:</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10. Dixit A.K., Pindyck R.S. Investment under Uncertainty. — Princeton: Princeton University Press, 1994.</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11. MIT Sloan Management Review. Real Options in Corporate Strategy. — 2024.</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12. PMI. Pulse of the Profession 2025. — Newtown Square: PMI, 2025.</w:t>
      </w:r>
    </w:p>
    <w:p>
      <w:pPr>
        <w:spacing w:after="120" w:before="240" w:line="360"/>
        <w:ind/>
        <w:jc w:val="both"/>
      </w:pPr>
      <w:r>
        <w:rPr>
          <w:rFonts w:ascii="Times New Roman" w:cs="Times New Roman" w:eastAsia="Times New Roman" w:hAnsi="Times New Roman"/>
          <w:b/>
          <w:bCs/>
          <w:i w:val="false"/>
          <w:iCs w:val="false"/>
          <w:sz w:val="28"/>
          <w:szCs w:val="28"/>
        </w:rPr>
        <w:t xml:space="preserve">Онлайн-ресурси:</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13. Strategicmanagementinsight.com. GE McKinsey Matrix Guide. — URL: https://strategicmanagementinsight.com/tools/ge-mckinsey-matrix (дата звернення: 09.05.2026).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14. Balancedscorecard.org. BSC Basics Overview 2025. — URL: https://balancedscorecard.org (дата звернення: 09.05.2026).</w:t>
      </w:r>
    </w:p>
    <w:p>
      <w:pPr>
        <w:spacing w:after="120" w:before="120" w:line="360"/>
        <w:ind/>
        <w:jc w:val="both"/>
      </w:pPr>
      <w:r>
        <w:rPr>
          <w:rFonts w:ascii="Times New Roman" w:cs="Times New Roman" w:eastAsia="Times New Roman" w:hAnsi="Times New Roman"/>
          <w:b w:val="false"/>
          <w:bCs w:val="false"/>
          <w:i w:val="false"/>
          <w:iCs w:val="false"/>
          <w:sz w:val="24"/>
          <w:szCs w:val="24"/>
        </w:rPr>
        <w:t xml:space="preserve">15. Forbes Ukraine. Nova Post Europe: 800 відділень у 16 країнах. — 2026. — URL: https://open4business.com.ua (дата звернення: 09.05.2026).</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120" w:line="360"/>
      <w:ind/>
      <w:jc w:val="center"/>
    </w:pPr>
    <w:r>
      <w:rPr>
        <w:rFonts w:ascii="Times New Roman" w:cs="Times New Roman" w:eastAsia="Times New Roman" w:hAnsi="Times New Roman"/>
        <w:b w:val="false"/>
        <w:bCs w:val="false"/>
        <w:i w:val="false"/>
        <w:iCs w:val="false"/>
        <w:sz w:val="28"/>
        <w:szCs w:val="2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2026-05-09T20:42:46.597Z</dcterms:created>
  <dcterms:modified xsi:type="dcterms:W3CDTF">2026-05-09T20:42:46.611Z</dcterms:modified>
</cp:coreProperties>
</file>

<file path=docProps/custom.xml><?xml version="1.0" encoding="utf-8"?>
<Properties xmlns="http://schemas.openxmlformats.org/officeDocument/2006/custom-properties" xmlns:vt="http://schemas.openxmlformats.org/officeDocument/2006/docPropsVTypes"/>
</file>