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20"/>
              <w:left w:type="dxa" w:w="200"/>
              <w:bottom w:type="dxa" w:w="120"/>
              <w:right w:type="dxa" w:w="200"/>
            </w:tcMar>
          </w:tcPr>
          <w:p>
            <w:pPr>
              <w:spacing w:after="40" w:before="60" w:line="360"/>
              <w:ind/>
              <w:jc w:val="center"/>
            </w:pPr>
            <w:r>
              <w:rPr>
                <w:rFonts w:ascii="Times New Roman" w:cs="Times New Roman" w:eastAsia="Times New Roman" w:hAnsi="Times New Roman"/>
                <w:b/>
                <w:bCs/>
                <w:i w:val="false"/>
                <w:iCs w:val="false"/>
                <w:sz w:val="24"/>
                <w:szCs w:val="24"/>
              </w:rPr>
              <w:t xml:space="preserve">КУРС: ОБҐРУНТУВАННЯ ПРОЄКТІВ РОЗВИТКУ КОМПАНІЇ</w:t>
            </w:r>
          </w:p>
          <w:p>
            <w:pPr>
              <w:spacing w:after="40" w:before="40" w:line="360"/>
              <w:ind/>
              <w:jc w:val="center"/>
            </w:pPr>
            <w:r>
              <w:rPr>
                <w:rFonts w:ascii="Times New Roman" w:cs="Times New Roman" w:eastAsia="Times New Roman" w:hAnsi="Times New Roman"/>
                <w:b/>
                <w:bCs/>
                <w:i w:val="false"/>
                <w:iCs w:val="false"/>
                <w:sz w:val="32"/>
                <w:szCs w:val="32"/>
              </w:rPr>
              <w:t xml:space="preserve">Лекція 6</w:t>
            </w:r>
          </w:p>
          <w:p>
            <w:pPr>
              <w:spacing w:after="60" w:before="40" w:line="360"/>
              <w:ind/>
              <w:jc w:val="center"/>
            </w:pPr>
            <w:r>
              <w:rPr>
                <w:rFonts w:ascii="Times New Roman" w:cs="Times New Roman" w:eastAsia="Times New Roman" w:hAnsi="Times New Roman"/>
                <w:b/>
                <w:bCs/>
                <w:i w:val="false"/>
                <w:iCs w:val="false"/>
                <w:sz w:val="28"/>
                <w:szCs w:val="28"/>
              </w:rPr>
              <w:t xml:space="preserve">ПРАКТИЧНІ КРОКИ ЗІ СТВОРЕННЯ І РЕАЛІЗАЦІЇ ПРОЄКТУ РОЗВИТКУ</w:t>
            </w:r>
          </w:p>
          <w:p>
            <w:pPr>
              <w:spacing w:after="20" w:before="60" w:line="360"/>
              <w:ind/>
              <w:jc w:val="left"/>
            </w:pPr>
            <w:r>
              <w:rPr>
                <w:rFonts w:ascii="Times New Roman" w:cs="Times New Roman" w:eastAsia="Times New Roman" w:hAnsi="Times New Roman"/>
                <w:b/>
                <w:bCs/>
                <w:i w:val="false"/>
                <w:iCs w:val="false"/>
                <w:sz w:val="24"/>
                <w:szCs w:val="24"/>
              </w:rPr>
              <w:t xml:space="preserve">У лекції розкрито:</w:t>
            </w:r>
          </w:p>
          <w:p>
            <w:pPr>
              <w:spacing w:after="20" w:before="0" w:line="360"/>
              <w:ind/>
              <w:jc w:val="both"/>
            </w:pPr>
            <w:r>
              <w:rPr>
                <w:rFonts w:ascii="Times New Roman" w:cs="Times New Roman" w:eastAsia="Times New Roman" w:hAnsi="Times New Roman"/>
                <w:b w:val="false"/>
                <w:bCs w:val="false"/>
                <w:i/>
                <w:iCs/>
                <w:sz w:val="24"/>
                <w:szCs w:val="24"/>
              </w:rPr>
              <w:t xml:space="preserve">– як SWOT, PEST і VRIO-аналіз формують фундамент для обґрунтованих управлінських рішень;</w:t>
            </w:r>
          </w:p>
          <w:p>
            <w:pPr>
              <w:spacing w:after="20" w:before="0" w:line="360"/>
              <w:ind/>
              <w:jc w:val="both"/>
            </w:pPr>
            <w:r>
              <w:rPr>
                <w:rFonts w:ascii="Times New Roman" w:cs="Times New Roman" w:eastAsia="Times New Roman" w:hAnsi="Times New Roman"/>
                <w:b w:val="false"/>
                <w:bCs w:val="false"/>
                <w:i/>
                <w:iCs/>
                <w:sz w:val="24"/>
                <w:szCs w:val="24"/>
              </w:rPr>
              <w:t xml:space="preserve">– як побудувати фінансово-економічне обґрунтування проєкту з аналізом чутливості та сценаріями;</w:t>
            </w:r>
          </w:p>
          <w:p>
            <w:pPr>
              <w:spacing w:after="20" w:before="0" w:line="360"/>
              <w:ind/>
              <w:jc w:val="both"/>
            </w:pPr>
            <w:r>
              <w:rPr>
                <w:rFonts w:ascii="Times New Roman" w:cs="Times New Roman" w:eastAsia="Times New Roman" w:hAnsi="Times New Roman"/>
                <w:b w:val="false"/>
                <w:bCs w:val="false"/>
                <w:i/>
                <w:iCs/>
                <w:sz w:val="24"/>
                <w:szCs w:val="24"/>
              </w:rPr>
              <w:t xml:space="preserve">– як Business Model Canvas і матриця Ансоффа допомагають вибрати правильну стратегію розвитку;</w:t>
            </w:r>
          </w:p>
          <w:p>
            <w:pPr>
              <w:spacing w:after="60" w:before="0" w:line="360"/>
              <w:ind/>
              <w:jc w:val="both"/>
            </w:pPr>
            <w:r>
              <w:rPr>
                <w:rFonts w:ascii="Times New Roman" w:cs="Times New Roman" w:eastAsia="Times New Roman" w:hAnsi="Times New Roman"/>
                <w:b w:val="false"/>
                <w:bCs w:val="false"/>
                <w:i/>
                <w:iCs/>
                <w:sz w:val="24"/>
                <w:szCs w:val="24"/>
              </w:rPr>
              <w:t xml:space="preserve">– як планувати проєкт через WBS і діаграму Ганта та управляти командою і змінами під час реалізації.</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6.1. Аналіз внутрішніх ресурсів компанії: SWOT, PEST і VRIO</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Будь-який проєкт розвитку починається не з рішення, а з розуміння. Компанія, яка не розуміє власного стартового стану, внутрішніх сильних і слабких сторін, а також сигналів зовнішнього середовища, ризикує запустити проєкт у неправильний час, у неправильному напрямі або без необхідних ресурсів для успіху. Саме тому аналітичний етап є фундаментом — він відповідає на питання «чому саме цей проєкт, чому зараз і чи готова компанія його реалізувати?».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Три інструменти — SWOT, PEST і VRIO — утворюють повноцінну аналітичну систему для обґрунтування проєктів розвитку. Кожен з них вирішує свою задачу: SWOT дає загальну стратегічну картину, PEST пояснює зовнішній контекст, VRIO оцінює внутрішній потенціал. Разом вони формують доказову базу для управлінського рішення.</w:t>
      </w:r>
    </w:p>
    <w:p>
      <w:pPr>
        <w:spacing w:after="120" w:before="240" w:line="360"/>
        <w:ind/>
        <w:jc w:val="both"/>
      </w:pPr>
      <w:r>
        <w:rPr>
          <w:rFonts w:ascii="Times New Roman" w:cs="Times New Roman" w:eastAsia="Times New Roman" w:hAnsi="Times New Roman"/>
          <w:b/>
          <w:bCs/>
          <w:i w:val="false"/>
          <w:iCs w:val="false"/>
          <w:sz w:val="28"/>
          <w:szCs w:val="28"/>
        </w:rPr>
        <w:t xml:space="preserve">6.1.1. SWOT-аналіз</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SWOT (Strengths, Weaknesses, Opportunities, Threats) — найбільш поширений інструмент стратегічного аналізу, що дозволяє побачити сильні і слабкі сторони компанії у поєднанні з можливостями і загрозами середовища. Ключова цінність SWOT полягає не у заповненні чотирьох квадрантів, а у виявленні стратегічних відповідностей: як сильні сторони можуть бути використані для реалізації можливостей? Як слабкі сторони підвищують вразливість до загроз?</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Для проєктів розвитку SWOT виконує функцію «фільтра доцільності»: якщо проєкт спирається на сильні сторони і відповідає реальним можливостям середовища — він має стратегічну основу. Якщо він вимагає нейтралізації серйозних слабких сторін або ігнорує значущі загрози — ризики є суттєвими і потребують управлінського планування.</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SWOT-аналіз перед запуском Nova Post у нових країнах ЄС</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Strengths (сильні сторони): відпрацьована логістична модель; впізнаваний бренд серед українських переселенців; технологічна платформа з AI-диспетчеризацією; досвід роботи в умовах невизначеності.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Weaknesses (слабкі сторони): обмежена впізнаваність бренду серед місцевого населення; мовні та культурні бар'єри; вища вартість логістики порівняно з локальними операторами на початковому етапі.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Opportunities (можливості): 6+ млн українців у ЄС — потенційний клієнтський сегмент; зростання e-commerce в Центральній Європі; регуляторна гармонізація у рамках Єдиного ринку ЄС.</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Threats (загрози): конкуренція з боку DHL, DPD, InPost; волатильність курсу гривні до євро; регуляторні вимоги ЄС щодо трудового законодавства та оподаткування.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Висновок: SWOT підтверджує стратегічну доцільність при умові правильного вибору ринків входу та хеджування валютних ризиків.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авторська інтерпретація на основі Forbes Ukraine, 2026; open4business.com.ua.</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6.1.2. PEST-аналіз</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PEST (Political, Economic, Social, Technological) — або у розширеній версії PESTEL (+Environmental, Legal) — інструмент аналізу макросередовища. Він дозволяє систематично оцінити, як зовнішні фактори впливають на компанію та її проєкти розвитку. Особливо важливий для проєктів, пов'язаних із виходом на нові ринки, зміною бізнес-моделі або реакцією на регуляторні зміни.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Для українських компаній у 2024–2026 роках PEST-аналіз має специфічний контекст: воєнний стан формує унікальні конфігурації факторів — нові регуляторні можливості (статус кандидата ЄС, програми відновлення), нові ризики (енергетична нестабільність, мобілізація) і нові ринкові реалії (переселенці як клієнтський сегмент, DREAM-платформа відновлення). Урахування цих факторів на старті проєкту є не опцією, а управлінською необхідністю.</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6.1. PEST-аналіз для проєктів розвитку в Україні (2025–2026)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3040"/>
      </w:tblGrid>
      <w:tr>
        <w:trPr>
          <w:tblHeader/>
        </w:trPr>
        <w:tc>
          <w:tcPr>
            <w:tcW w:type="dxa" w:w="14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Фактор</w:t>
            </w:r>
          </w:p>
        </w:tc>
        <w:tc>
          <w:tcPr>
            <w:tcW w:type="dxa" w:w="28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Сигнали для проєктів розвитку</w:t>
            </w:r>
          </w:p>
        </w:tc>
        <w:tc>
          <w:tcPr>
            <w:tcW w:type="dxa" w:w="24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Можливості</w:t>
            </w:r>
          </w:p>
        </w:tc>
        <w:tc>
          <w:tcPr>
            <w:tcW w:type="dxa" w:w="30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Загрози</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P — Політичні</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Статус кандидата ЄС, регуляторна гармонізація, воєнний стан</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Доступ до EU4Business, DREAM-платформа, програми відновлення</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Нестабільність законодавства, мобілізаційні обмеження</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E — Економічні</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Інфляція ~10% (2024), облікова ставка НБУ 13,5%, зростання ВВП +3,4% (2024)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Відновлення споживчого попиту, приплив міжнародної допомоги $38 млрд (2024)</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Дефіцит бюджету, обмеження на рух капіталу, кредитні ризики</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S — Соціальні</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 млн переселенців за кордоном, 5 млн ВПО всередині країни</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Нові клієнтські сегменти, попит на дистанційні послуги</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Дефіцит кваліфікованих кадрів, демографічні зміни</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T — Технологічні</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AI-революція, розширення Diia (21,7 млн користувачів), хмарна міграція</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Цифровізація державних послуг, AI-інструменти для бізнесу</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Кібератаки на критичну інфраструктуру, залежність від зарубіжних платформ</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E — Екологічні</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CSRD Директива ЄС, ESG-вимоги для доступу до капіталу</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Зелена відбудова, EU Green Deal, вуглецеві кредити</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Витрати на ESG-відповідність, підвищення стандартів звітності</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L — Правові</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Гармонізація з правом ЄС, нові закони про концесію та ДПП</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Нові форми державно-приватного партнерства, доступ до ринків ЄС</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Складність дозвільних процедур, зміни в оподаткуванні</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на основі НБУ, Мінфін, МВФ Ukraine Report 2025; Diia офіційна статистика.</w:t>
      </w:r>
    </w:p>
    <w:p>
      <w:pPr>
        <w:spacing w:after="120" w:before="240" w:line="360"/>
        <w:ind/>
        <w:jc w:val="both"/>
      </w:pPr>
      <w:r>
        <w:rPr>
          <w:rFonts w:ascii="Times New Roman" w:cs="Times New Roman" w:eastAsia="Times New Roman" w:hAnsi="Times New Roman"/>
          <w:b/>
          <w:bCs/>
          <w:i w:val="false"/>
          <w:iCs w:val="false"/>
          <w:sz w:val="28"/>
          <w:szCs w:val="28"/>
        </w:rPr>
        <w:t xml:space="preserve">6.1.3. VRIO-аналіз: оцінка конкурентного потенціалу ресурсів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VRIO (Value, Rarity, Imitability, Organization) — інструмент стратегічного аналізу, що дозволяє оцінити внутрішні ресурси та компетенції компанії з точки зору їхнього потенціалу створювати стійку конкурентну перевагу. На відміну від SWOT, який дає загальну картину, VRIO занурюється у глибину: він запитує не просто «яка наша сила?», а «чи є ця сила справжньою конкурентною перевагою?».</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Інструмент розроблений Джеєм Барні (Jay Barney, 1991, Academy of Management Executive) і є одним із ключових концептів школи ресурсного підходу (Resource-Based View, RBV) у стратегічному менеджменті. VRIO аналізує: цінність ресурсу, його рідкість, складність імітації та організаційну здатність його використовувати.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V — Value (цінність): чи допомагає ресурс зменшити витрати або збільшити доходи? Якщо ресурс не створює цінності — він не є конкурентною перевагою, незалежно від інших характеристик.</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R — Rarity (унікальність): чи є цей ресурс унікальним або доступним лише небагатьом конкурентам? Якщо ресурс поширений на ринку — він забезпечує конкурентний паритет, але не перевагу.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I — Imitability (складність відтворення): наскільки легко конкурентам скопіювати цей ресурс або компетенцію? Якщо ресурс легко відтворити — конкурентна перевага буде тимчасовою.</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O — Organization (організаційна підтримка): чи здатна компанія організувати ефективне використання ресурсу? Навіть цінний, рідкісний і важко відтворюваний ресурс не стане перевагою, якщо він не інтегрований у бізнес-модель і процеси.</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6.2. Алгоритм VRIO-аналізу та стратегічні висновки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1600"/>
        <w:gridCol w:w="3040"/>
      </w:tblGrid>
      <w:tr>
        <w:trPr>
          <w:tblHeader/>
        </w:trPr>
        <w:tc>
          <w:tcPr>
            <w:tcW w:type="dxa" w:w="1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Цінний?</w:t>
            </w:r>
          </w:p>
        </w:tc>
        <w:tc>
          <w:tcPr>
            <w:tcW w:type="dxa" w:w="1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Рідкісний?</w:t>
            </w:r>
          </w:p>
        </w:tc>
        <w:tc>
          <w:tcPr>
            <w:tcW w:type="dxa" w:w="16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Важко імітувати?</w:t>
            </w:r>
          </w:p>
        </w:tc>
        <w:tc>
          <w:tcPr>
            <w:tcW w:type="dxa" w:w="16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Організаційно підтриманий?</w:t>
            </w:r>
          </w:p>
        </w:tc>
        <w:tc>
          <w:tcPr>
            <w:tcW w:type="dxa" w:w="30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Конкурентний наслідок</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Ні</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Конкурентна невигода → переглянути або відмовитися від ресурсу</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Так</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Ні</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Конкурентний паритет → достатньо для виживання, не для лідерства</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Так</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Так</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Ні</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Тимчасова конкурентна перевага → потрібні заходи щодо захисту</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Так</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Так</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Так</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Ні</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Невикористана перевага → необхідна організаційна трансформація</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Так</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Так</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Так</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Так</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Стійка конкурентна перевага → основа для проєкту розвитку</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адаптовано з Barney J. Looking Inside for Competitive Advantage. Academy of Management Executive, 1995.</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VRIO-аналіз ключових ресурсів українських компаній</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Nova Post — логістична мережа 35 000+ відділень та автоматизованих терміналів: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V: знижує витрати і збільшує доходи через масштаб → так. R: жоден конкурент в Україні не має порівнянної мережі → так. I: для відтворення потрібні роки і мільярди → так. O: компанія має процеси, IT-системи і бренд для використання → так. Висновок: стійка конкурентна перевага.</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MHP — вертикальна інтеграція агровиробництва (від зерна до готового курятини):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V: знижує собівартість і підвищує контроль якості → так. R: мало агровиробників у світі мають повну вертикальну інтеграцію такого масштабу → так. I: вимагає десятиліть розбудови і значних капіталовкладень → так. O: є системи управління, сертифікації, логістика → так. Висновок: стійка конкурентна перевага на глобальному ринку.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Невеликий виробник меблів в Україні — цінова доступність продукції:</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V: забезпечує попит у ціновому сегменті → так. R: таких виробників на ринку багато → ні. Висновок: лише конкурентний паритет. Необхідний пошук додаткових диференціаторів.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авторська розробка; Nova Post ESG Report 2023; MHP Annual Report 2024.</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6.1</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SWOT + PEST + VRIO — повноцінна аналітична система: SWOT для загальної картини, PEST для зовнішнього контексту, VRIO для глибини внутрішнього потенціалу.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Стійка конкурентна перевага = ресурс, що є цінним + рідкісним + важко відтворюваним + організаційно підтриманим (VRIO).</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Для України 2025–2026: PEST-аналіз виявляє унікальні можливості (ЄС-кандидатство, програми відновлення) і специфічні ризики (енергетика, кадри).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Аналітичний етап — не формальність, а управлінська умова обґрунтованого рішення про запуск проєкту.</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6.2. Фінансово-економічне обґрунтування проєкту розвитку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Фінансово-економічне обґрунтування (ФЕО) — це комплексна оцінка доцільності інвестицій з точки зору економічної ефективності, ризиків, окупності та впливу на фінансовий стан компанії. Мета — дати відповідь на питання: чи варто вкладати ресурси в цей проєкт, чи є кращі альтернативи і які умови є критичними для його успіху? ФЕО виступає як ключовий розділ бізнес-кейсу і часто є обов'язковою умовою для отримання фінансування — банківського кредиту, гранту або інвестиції.</w:t>
      </w:r>
    </w:p>
    <w:p>
      <w:pPr>
        <w:spacing w:after="120" w:before="240" w:line="360"/>
        <w:ind/>
        <w:jc w:val="both"/>
      </w:pPr>
      <w:r>
        <w:rPr>
          <w:rFonts w:ascii="Times New Roman" w:cs="Times New Roman" w:eastAsia="Times New Roman" w:hAnsi="Times New Roman"/>
          <w:b/>
          <w:bCs/>
          <w:i w:val="false"/>
          <w:iCs w:val="false"/>
          <w:sz w:val="28"/>
          <w:szCs w:val="28"/>
        </w:rPr>
        <w:t xml:space="preserve">6.2.1. Структура бюджету проєкту: CAPEX і OPEX</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Бюджет проєкту є фундаментом ФЕО. Він складається з трьох взаємопов'язаних компонентів.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Капітальні витрати (CAPEX, Capital Expenditures) — одноразові інвестиції на старті проєкту: закупівля обладнання, будівництво, розробка програмного забезпечення, придбання ліцензій. Вони формують стартовий бюджет і відображаються у балансі компанії як активи, що амортизуються.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Операційні витрати (OPEX, Operational Expenditures) — регулярні витрати для функціонування результатів проєкту: зарплата, оренда, комунальні послуги, матеріали, маркетинг, підтримка IT-систем. OPEX виникає після завершення проєкту і є частиною поточного бюджету компанії.</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Доходи проєкту і грошові потоки (Cash Flow) — прогнозовані надходження від реалізації продуктів або послуг, що створює проєкт. Важливо відображати Cash Flow у динаміці по роках: перші 1–2 роки зазвичай від'ємні (переважають CAPEX і початкові OPEX), далі — поступово зростають до беззбитковості і далі до позитивного результату.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Структура бюджету проєкту запуску регіонального e-commerce хабу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CAPEX (одноразові): будівництво або оренда + ремонт складу — 12 млн грн; закупівля логістичного обладнання — 5 млн грн; розробка IT-системи управління замовленнями — 3 млн грн; маркетинговий бюджет на launch — 2 млн грн. Разом CAPEX: 22 млн грн.</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OPEX (щорічні): зарплата 25 співробітників — 9 млн грн/рік; оренда приміщень (якщо не власні) — 2,4 млн грн/рік; IT-підтримка і хмарні сервіси — 1,2 млн грн/рік; маркетинг і логістика — 3,6 млн грн/рік. Разом OPEX: ~16 млн грн/рік.</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Прогноз доходів: рік 1 — 10 млн грн; рік 2 — 20 млн грн; рік 3 — 32 млн грн; рік 4 — 40 млн грн.</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Точка беззбитковості: рік 2 (доходи покривають OPEX); повна окупність CAPEX: ~3,5 роки.</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6.2.2. Методи оцінки фінансової ефективності</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Окрім NPV, IRR і Payback Period, розглянутих у лекції 5, фінансово-економічне обґрунтування включає індекс прибутковості (PI) — відношення теперішньої вартості майбутніх грошових потоків до початкових інвестицій. PI &gt; 1 означає, що проєкт є вигідним; чим вище PI, тим ефективніше використовується кожна вкладена гривня. Для порівняння кількох проєктів при обмеженому бюджеті PI є зручнішим інструментом, ніж абсолютне значення NPV.</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Для будівельних і виробничих проєктів використовують також показник DSCR (Debt Service Coverage Ratio) — відношення операційного прибутку до щорічних платежів з обслуговування боргу. DSCR ≥ 1,25 є стандартним вимогою банків при проєктному фінансуванні. Нижче цього порогу банк не надасть кредит, оскільки проєкт не генерує достатнього грошового потоку для покриття зобов'язань.</w:t>
      </w:r>
    </w:p>
    <w:p>
      <w:pPr>
        <w:spacing w:after="120" w:before="240" w:line="360"/>
        <w:ind/>
        <w:jc w:val="both"/>
      </w:pPr>
      <w:r>
        <w:rPr>
          <w:rFonts w:ascii="Times New Roman" w:cs="Times New Roman" w:eastAsia="Times New Roman" w:hAnsi="Times New Roman"/>
          <w:b/>
          <w:bCs/>
          <w:i w:val="false"/>
          <w:iCs w:val="false"/>
          <w:sz w:val="28"/>
          <w:szCs w:val="28"/>
        </w:rPr>
        <w:t xml:space="preserve">6.2.3. Аналіз чутливості та сценарний аналіз</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Аналіз чутливості визначає, які чинники найбільше впливають на ефективність проєкту. Зміна ціни продукту, обсягу продажів або ставки дисконту може суттєво змінити NPV або термін окупності. Для кожного ключового параметра будується таблиця: як змінюється NPV при відхиленні параметра на –20%, –10%, +10%, +20% від базового значення? Параметри, що найбільше впливають на NPV, стають пріоритетними для ризик-менеджменту.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Сценарний аналіз (докладно розглянутий у лекції 5) доповнює аналіз чутливості комплексним поглядом: замість зміни одного параметра одночасно змінюються кілька чинників, що відображає реальну комбіновану природу ризиків. Базовий + оптимістичний + стресовий сценарій дають керівництву повну картину діапазону можливих результатів.</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аналізу чутливості: вплив ключових параметрів на NPV проєкту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Базовий NPV при ставці 12% і обсязі продажів 100% = +3,2 млн грн.</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Ціна продукту –10% → NPV = +0,8 млн грн (зниження на 75%). Найчутливіший параметр.</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Обсяг продажів –10% → NPV = +1,9 млн грн (зниження на 41%).</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CAPEX +15% → NPV = +1,6 млн грн (зниження на 50%).</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Ставка дисконту 15% замість 12% → NPV = +2,1 млн грн (зниження на 34%).</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Висновок: проєкт найбільш чутливий до ціни продукту. Стратегія: контракти з фіксованими цінами або хеджування цінових ризиків через форвардні угоди.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авторський розрахунковий приклад.</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6.2.4. Джерела фінансування та державно-приватне партнерство</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Вибір джерела фінансування — стратегічне рішення, що залежить від розміру проєкту, його ризиковості, горизонту окупності та стратегічної мети. Чотири основних джерела розглянуто в лекції 2; зосередимось на найважливішому для великих проєктів відновлення — державно-приватному партнерстві (ДПП).</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Державно-приватне партнерство (ДПП) — механізм спільного фінансування та управління проєктом між державою і приватним сектором. Держава надає земельну ділянку, інфраструктурні активи або гарантований попит; приватний партнер вносить капітал, компетенції і операційну ефективність. Ризики розподіляються між партнерами відповідно до їхньої здатності ними управляти.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ДПП в Україні: програми відновлення 2024–2026</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DREAM-платформа (Digital Restoration EcoSystem for Accountable Management): понад 11 000 верифікованих відновлювальних проєктів із прозорим трекінгом для інвесторів та донорів.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Міжнародна допомога Україні у 2024 — понад $38 млрд (ЄС, МВФ, Світовий банк, США) — значна частина проходить через механізми ДПП або грантових програм.</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Програми ЄС для бізнесу: EU4Business, EBRD Ukraine Solidarity Package, EIB Ukraine Special Package.</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Закон України «Про державно-приватне партнерство» (з поправками 2024): нові механізми концесії для інфраструктурних об'єктів — дороги, порти, енергетика.</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Джерела: DREAM Platform офіційний сайт; МВФ Country Report Ukraine 2025; Мінфін України.</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6.2</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ФЕО = бюджет (CAPEX/OPEX) + методи ефективності (NPV, IRR, PI, DSCR) + аналіз чутливості + сценарії + вибір джерела фінансування.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Аналіз чутливості виявляє найвразливіші параметри: ціна, обсяг продажів, CAPEX — пріоритети для ризик-менеджменту.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DSCR ≥ 1,25 — стандартна вимога банків для проєктного фінансування.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ДПП і програми ЄС: 11 000+ відновлювальних проєктів в DREAM-платформі + $38 млрд міжнародної допомоги у 2024 — нові можливості для великих проєктів розвитку.</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6.3. Розробка бізнес-моделі і стратегії реалізації проєкту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Проєкт розвитку, що не пов'язаний з чіткою бізнес-моделлю, залишається ініціативою без логіки монетизації. Компанія може побудувати новий продукт, вийти на новий ринок або автоматизувати процеси — але якщо не розуміє, як цей проєкт буде генерувати цінність і доходи, успіх залишається питанням удачі, а не управлінської компетентності.</w:t>
      </w:r>
    </w:p>
    <w:p>
      <w:pPr>
        <w:spacing w:after="120" w:before="240" w:line="360"/>
        <w:ind/>
        <w:jc w:val="both"/>
      </w:pPr>
      <w:r>
        <w:rPr>
          <w:rFonts w:ascii="Times New Roman" w:cs="Times New Roman" w:eastAsia="Times New Roman" w:hAnsi="Times New Roman"/>
          <w:b/>
          <w:bCs/>
          <w:i w:val="false"/>
          <w:iCs w:val="false"/>
          <w:sz w:val="28"/>
          <w:szCs w:val="28"/>
        </w:rPr>
        <w:t xml:space="preserve">6.3.1. Business Model Canvas (BMC)</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Business Model Canvas — інструмент стратегічного моделювання, розроблений Олександром Остервальдером і Івом Піньє (2010). BMC був розроблений у співпраці з 470 практиками з 45 країн і відображає всі ключові елементи бізнес-моделі в єдиному поданні. Він описує логіку того, як компанія створює, поставляє і захоплює цінність — через 9 взаємопов'язаних блоків.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Блоки BMC: Ціннісні пропозиції (Value Propositions) — яку проблему вирішує і яку вигоду надає продукт або послуга. Сегменти клієнтів (Customer Segments) — для кого компанія створює цінність. Канали збуту (Channels) — як цінність доставляється до клієнта. Відносини з клієнтами (Customer Relationships) — якого типу відносини будує компанія з кожним сегментом. Ключові ресурси (Key Resources) — які активи необхідні для реалізації бізнес-моделі (тут стане у нагоді VRIO). Ключові партнери (Key Partners) — хто забезпечує ресурси або діяльність, яку компанія не виконує самостійно. Ключові види діяльності (Key Activities) — що компанія робить для реалізації своєї ціннісної пропозиції. Структура витрат (Cost Structure) — що є найдорожчим у бізнес-моделі. Потоки доходів (Revenue Streams) — як і за що клієнти платять.</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BMC для проєкту розвитку: запуск NovaPay (Nova Post)</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Ціннісна пропозиція: зручні фінансові послуги (онлайн-оплата, перекази, зберігання) інтегровані у звичну логістику — без необхідності окремого банківського рахунку.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Сегменти клієнтів: фізичні особи (покупці e-commerce), малий бізнес (продавці на маркетплейсах), переселенці за кордоном.</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Канали: мобільний застосунок Nova Post, веб-сайт, термінали у відділеннях.</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Ключові ресурси: IT-платформа, ліцензія НБУ на платіжні послуги, мережа 35 000+ відділень.</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Ключові партнери: НБУ (регулятор), банки-партнери, платіжні системи Visa/Mastercard.</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Потоки доходів: комісії за перекази, відсотки на залишки, плата за преміум-функції.</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Цей BMC виявив: ключова синергія проєкту — використання існуючої мережі відділень як каналу для нового фінансового продукту, що різко знижує CAPEX порівняно з відкриттям банківських відділень.</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авторська інтерпретація на основі Nova Post ESG Report 2023.</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6.3.2. Матриця Ансоффа: вибір стратегії зростання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Матриця Ансоффа (Igor Ansoff, 1957) — стратегічний інструмент, що допомагає визначити напрямки зростання і оцінити ризик кожного варіанту. Матриця дозволяє оцінити можливості розширення бізнесу, розглядаючи комбінації нових і існуючих продуктів та ринків. Чотири стратегії:</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Проникнення на ринок (Market Penetration) — існуючі продукти на існуючих ринках. Найнижчий ризик: компанія знає і продукт, і ринок. Інструменти: зниження цін, активна реклама, програми лояльності, покращення сервісу. Мета — збільшити частку ринку без зміни пропозиції.</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Розвиток продукту (Product Development) — нові продукти на існуючих ринках. Середній ризик: ринок знайомий, але продукт новий. Потребує R&amp;D-компетенцій і розуміння потреб існуючих клієнтів. Класичний приклад: Apple додає нові продукти (iPad, AirPods) до існуючої екосистеми.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Розвиток ринку (Market Development) — існуючі продукти на нових ринках. Середній ризик: продукт перевірений, але потрібне розуміння нових ринків, клієнтів, регуляторного середовища. Типовий шлях: географічна експансія або вихід у нові клієнтські сегменти.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Диверсифікація (Diversification) — нові продукти на нових ринках. Найвищий ризик: компанія не знає ні продукту, ні ринку. Але і найвища потенційна дохідність. AWS, запущений Amazon у 2006 році, був абсолютно новим продуктом для нового ринку — і сьогодні досягнув $100 млрд річного доходу, ставши найприбутковішим підрозділом компанії.</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6.3. Матриця Ансоффа: стратегії зростання та приклади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440"/>
      </w:tblGrid>
      <w:tr>
        <w:trPr>
          <w:tblHeader/>
        </w:trPr>
        <w:tc>
          <w:tcPr>
            <w:tcW w:type="dxa" w:w="2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Стратегія</w:t>
            </w:r>
          </w:p>
        </w:tc>
        <w:tc>
          <w:tcPr>
            <w:tcW w:type="dxa" w:w="18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Ринок</w:t>
            </w:r>
          </w:p>
        </w:tc>
        <w:tc>
          <w:tcPr>
            <w:tcW w:type="dxa" w:w="16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Продукт</w:t>
            </w:r>
          </w:p>
        </w:tc>
        <w:tc>
          <w:tcPr>
            <w:tcW w:type="dxa" w:w="16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Рівень ризику</w:t>
            </w:r>
          </w:p>
        </w:tc>
        <w:tc>
          <w:tcPr>
            <w:tcW w:type="dxa" w:w="24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Приклад</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Проникнення на ринок</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Існуючий</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Існуючий</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Низький</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Rozetka: акції та програми лояльності для утримання клієнтів</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Розвиток продукту</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Існуючий</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Новий</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Середній</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Nova Post: NovaPay — фінансовий продукт для існуючих клієнтів логістики</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Розвиток ринку</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Новий</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Існуючий</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Середній</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Nova Post: вихід у 16 країн ЄС з існуючою моделлю доставки</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Диверсифікація</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Новий</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Новий</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Високий</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Amazon → AWS: хмарний сервіс для IT-компаній (нові продукт і ринок)</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Ansoff H.I. Strategies for Diversification. Harvard Business Review, 1957; адаптовано авторами; відкриті матеріали компаній.</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6.3</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Business Model Canvas (9 блоків) відображає логіку створення, поставки і захоплення цінності для кожного проєкту розвитку.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Матриця Ансоффа структурує вибір стратегії зростання через призму ризику: від найбезпечнішого проникнення на ринок до найризикованішої диверсифікації.</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AWS (Amazon): $100 млрд+ доходу — результат найризикованішої стратегії диверсифікації, яка стала найприбутковішим бізнесом компанії.</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Для проєктів Nova Post: розвиток продукту (NovaPay) + розвиток ринку (ЄС) — одночасна реалізація двох стратегій зростання.</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6.4. Планування проєкту розвитку: WBS, Ганта і управління ризиками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Планування є «мостом» між концепцією і практичною реалізацією: саме план визначає, як стратегічні ідеї перетворюються на конкретні дії, бюджети і терміни. Якісне планування не гарантує успіху, але суттєво підвищує його ймовірність — і дає керівнику інструменти для управління відхиленнями в процесі реалізації.</w:t>
      </w:r>
    </w:p>
    <w:p>
      <w:pPr>
        <w:spacing w:after="120" w:before="240" w:line="360"/>
        <w:ind/>
        <w:jc w:val="both"/>
      </w:pPr>
      <w:r>
        <w:rPr>
          <w:rFonts w:ascii="Times New Roman" w:cs="Times New Roman" w:eastAsia="Times New Roman" w:hAnsi="Times New Roman"/>
          <w:b/>
          <w:bCs/>
          <w:i w:val="false"/>
          <w:iCs w:val="false"/>
          <w:sz w:val="28"/>
          <w:szCs w:val="28"/>
        </w:rPr>
        <w:t xml:space="preserve">6.4.1. Work Breakdown Structure (WBS)</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WBS (ієрархічна структура робіт) — метод декомпозиції проєкту: від загальної мети до конкретних пакетів робіт, завдань і підзавдань. WBS дозволяє уникнути «білих плям» у плані і чітко розуміти, хто за що відповідає. Кожен елемент WBS має: унікальний ідентифікатор (WBS-код), відповідальну особу, очікуваний результат і критерії прийняття.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Принципи побудови WBS: орієнтація на результати (кожен елемент — це продукт або результат, а не процес); 100% правило (WBS повністю охоплює весь обсяг проєкту — ніщо не випадає і нічого зайвого не додається); оптимальна глибина (зазвичай 3–5 рівнів; занадто детальна WBS стає нездійсненно складною для управління).</w:t>
      </w:r>
    </w:p>
    <w:p>
      <w:pPr>
        <w:spacing w:after="120" w:before="240" w:line="360"/>
        <w:ind/>
        <w:jc w:val="both"/>
      </w:pPr>
      <w:r>
        <w:rPr>
          <w:rFonts w:ascii="Times New Roman" w:cs="Times New Roman" w:eastAsia="Times New Roman" w:hAnsi="Times New Roman"/>
          <w:b/>
          <w:bCs/>
          <w:i w:val="false"/>
          <w:iCs w:val="false"/>
          <w:sz w:val="28"/>
          <w:szCs w:val="28"/>
        </w:rPr>
        <w:t xml:space="preserve">6.4.2. Діаграма Ганта і метод критичного шляху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Діаграма Ганта — наочний графік, що показує послідовність робіт у часі. Кожне завдання відображається як горизонтальна смуга на часовій осі; залежності між завданнями показуються стрілками. Діаграма Ганта є найбільш поширеним інструментом операційного планування проєктів: її підтримують всі основні PM-системи (MS Project, Jira, Asana, Monday.com).</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Метод критичного шляху (CPM, Critical Path Method) визначає найдовший ланцюг взаємозалежних завдань — «критичний шлях». Будь-яка затримка завдання на критичному шляху автоматично затримує весь проєкт. Завдання, що не перебувають на критичному шляху, мають «поплавок» (float) — певний резерв часу. CPM дозволяє фокусувати управлінську увагу на дійсно критичних точках.</w:t>
      </w:r>
    </w:p>
    <w:p>
      <w:pPr>
        <w:spacing w:after="120" w:before="240" w:line="360"/>
        <w:ind/>
        <w:jc w:val="both"/>
      </w:pPr>
      <w:r>
        <w:rPr>
          <w:rFonts w:ascii="Times New Roman" w:cs="Times New Roman" w:eastAsia="Times New Roman" w:hAnsi="Times New Roman"/>
          <w:b/>
          <w:bCs/>
          <w:i w:val="false"/>
          <w:iCs w:val="false"/>
          <w:sz w:val="28"/>
          <w:szCs w:val="28"/>
        </w:rPr>
        <w:t xml:space="preserve">6.4.3. Управління ризиками: RAID-журнал</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Управління ризиками у проєктах розвитку є особливо критичним, оскільки йдеться про нові ринки, технології або бізнес-моделі з підвищеним рівнем невизначеності. RAID-журнал (Risks, Assumptions, Issues, Dependencies) — практичний інструмент структурованого управління: ризики (що може піти не так), припущення (що вважається істинним без підтвердження), проблеми (що вже пішло не так) і залежності (від чого залежить успіх).</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Для кожного ризику визначають: ймовірність виникнення (1–5), вплив на проєкт (1–5), загальний рейтинг (ймовірність × вплив) і стратегію реагування. Чотири стратегії: уникнення (Avoid) — зміна плану так, щоб ризик не виник; пом'якшення (Mitigate) — дії для зниження ймовірності або впливу; передання (Transfer) — страхування або контрактне перенесення ризику на третю сторону; прийняття (Accept) — якщо вартість управління ризиком перевищує потенційний збиток.</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6.4. RAID-журнал проєкту: приклад для проєкту виходу на ринок ЄС</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1200"/>
        <w:gridCol w:w="1200"/>
        <w:gridCol w:w="2440"/>
      </w:tblGrid>
      <w:tr>
        <w:trPr>
          <w:tblHeader/>
        </w:trPr>
        <w:tc>
          <w:tcPr>
            <w:tcW w:type="dxa" w:w="14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Категорія</w:t>
            </w:r>
          </w:p>
        </w:tc>
        <w:tc>
          <w:tcPr>
            <w:tcW w:type="dxa" w:w="2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Опис</w:t>
            </w:r>
          </w:p>
        </w:tc>
        <w:tc>
          <w:tcPr>
            <w:tcW w:type="dxa" w:w="1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Ймовір-ність (1–5)</w:t>
            </w:r>
          </w:p>
        </w:tc>
        <w:tc>
          <w:tcPr>
            <w:tcW w:type="dxa" w:w="1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Вплив (1–5)</w:t>
            </w:r>
          </w:p>
        </w:tc>
        <w:tc>
          <w:tcPr>
            <w:tcW w:type="dxa" w:w="1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Рейтинг</w:t>
            </w:r>
          </w:p>
        </w:tc>
        <w:tc>
          <w:tcPr>
            <w:tcW w:type="dxa" w:w="24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Стратегія реагування</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Ризик</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Коливання курсу EUR/UAH &gt; 15%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16</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Transfer: форвардні валютні контракти</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Ризик</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Затримка отримання ліцензії/дозволу в новій країні</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3</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15</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Mitigate: залучення місцевого юридичного радника на старті</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Ризик</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Ключові співробітники залишають проєкт</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8</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Mitigate: ретейншн-бонуси, backup-плани для ключових ролей</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Припущення</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Попит від діаспори забезпечить точку беззбитковості у рік 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Верифікувати через пілот у 2 містах у рік 1</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Проблема</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Місцевий партнер затримує підписання угоди</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Ескалація до CEO; паралельний пошук альтернативного партнера</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Залежність</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Успіх залежить від своєчасного отримання IT-інтеграції</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Синхронізація з IT-командою кожні 2 тижні</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на основі PMBoK 7th ed. (PMI, 2021).</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6.4</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WBS забезпечує 100% охоплення обсягу проєкту без «білих плям» і чіткий розподіл відповідальності.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Критичний шлях (CPM) фокусує управлінську увагу на завданнях, затримка яких затримує весь проєкт.</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RAID-журнал структурує управління ризиками: 4 стратегії реагування — уникнення, пом'якшення, передання, прийняття.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Якісне планування потребує 15–25% загального часу і бюджету проєкту — економія на ньому є найдорожчим заощадженням.</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6.5. Управління проєктом розвитку: команда, лідерство і управління змінами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Найкращий план нічого не вартий без команди, здатної його реалізувати, і лідера, здатного надихнути людей на зміни. Управління проєктом розвитку — це не лише контроль дедлайнів і бюджетів, а й робота з людьми: підбір, мотивація, комунікація і подолання опору трансформаціям.</w:t>
      </w:r>
    </w:p>
    <w:p>
      <w:pPr>
        <w:spacing w:after="120" w:before="240" w:line="360"/>
        <w:ind/>
        <w:jc w:val="both"/>
      </w:pPr>
      <w:r>
        <w:rPr>
          <w:rFonts w:ascii="Times New Roman" w:cs="Times New Roman" w:eastAsia="Times New Roman" w:hAnsi="Times New Roman"/>
          <w:b/>
          <w:bCs/>
          <w:i w:val="false"/>
          <w:iCs w:val="false"/>
          <w:sz w:val="28"/>
          <w:szCs w:val="28"/>
        </w:rPr>
        <w:t xml:space="preserve">6.5.1. Організаційний дизайн проєкту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Вибір організаційної моделі проєкту залежить від його типу, масштабу і рівня невизначеності. Три основні моделі: функціональна (відповідальність за проєкт залишається у функціональних керівниках; PM має лише координаційну роль), матрична (співробітники підпорядковуються одночасно функціональному керівнику і PM; найпоширеніша для середніх і великих проєктів) і проєктна (команда повністю виділена на проєкт; PM має повну відповідальність).</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Для проєктів розвитку з вищою невизначеністю і швидкою зміною вимог частіше обирають Agile-модель: робота організована ітераціями (спринтами), регулярними оглядами і коригуванням курсу. Гібридна модель (матрична структура + Agile-спринти) є найпоширенішою у 2024–2025 роках для корпоративних проєктів трансформації.</w:t>
      </w:r>
    </w:p>
    <w:p>
      <w:pPr>
        <w:spacing w:after="120" w:before="240" w:line="360"/>
        <w:ind/>
        <w:jc w:val="both"/>
      </w:pPr>
      <w:r>
        <w:rPr>
          <w:rFonts w:ascii="Times New Roman" w:cs="Times New Roman" w:eastAsia="Times New Roman" w:hAnsi="Times New Roman"/>
          <w:b/>
          <w:bCs/>
          <w:i w:val="false"/>
          <w:iCs w:val="false"/>
          <w:sz w:val="28"/>
          <w:szCs w:val="28"/>
        </w:rPr>
        <w:t xml:space="preserve">6.5.2. Формування команди проєкту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Успішний проєкт потребує чіткого розподілу ролей і відповідальності. Ключові ролі: Спонсор проєкту — топ-менеджер, що забезпечує ресурси, підтримку та усуває організаційні бар'єри. Менеджер проєкту (PM) — відповідає за координацію, бюджет, ризики і комунікацію зі стейкхолдерами. Команда проєкту — фахівці з різних функцій, що виконують роботи. Стейкхолдери — всі зацікавлені сторони, яких торкається проєкт.</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Ефективна команда не виникає автоматично — вона будується цілеспрямовано. Модель Такмана (Tuckman) описує чотири стадії розвитку команди: Forming (формування — знайомство і визначення ролей), Storming (конфлікти — прояснення позицій і правил), Norming (нормалізація — узгодженість і продуктивність), Performing (виконання — висока результативність). Завдання PM — прискорити перехід до стадії Performing і утримати команду в ній якомога довше.</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Команда програми European expansion Nova Post</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Спонсор: CEO Nova Post Group — забезпечує стратегічний ресурс і підтримку на рівні ради директорів.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Program Manager: CEO Nova Post Europe — координує всі країнові проєкти, управляє залежностями між ними.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Country Project Managers: окремі PM для кожної країни (Польща, Молдова, Чехія, Латвія тощо) — відповідають за локальну реалізацію.</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Функціональні команди: IT (локалізація платформи), HR (набір і навчання місцевого персоналу), Legal (регуляторна відповідність у кожній країні), Marketing (ребрендинг Nova Post → Nova Post).</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Ключовий виклик команди: балансування між глобальними стандартами (єдина IT-платформа, єдиний бренд) і локальними особливостями ('Germans prefer address delivery, Poles prefer postmen' — CEO Лісовець, Forbes Ukraine, 2026).</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Forbes Ukraine, лютий 2026.</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6.5.3. Лідерство і комунікація у проєктах розвитку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Лідер проєкту розвитку виконує принципово іншу роль, ніж менеджер операційного проєкту. Окрім управлінських функцій (планування, контроль, звітність), він має: формувати бачення — показувати команді і стейкхолдерам, навіщо цей проєкт і який майбутній стан він будує; мотивувати — підтримувати enгagement під час складних фаз; будувати довіру — бути послідовним, чесним і передбачуваним; управляти конфліктами — трансформувати протиріччя в діалог, а не пригнічувати їх.</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Комунікація є ключовою управлінською функцією: за даними PMI, 29% проєктів зазнають невдачі саме через незадовільну комунікацію. Ефективний комунікаційний план визначає: хто отримує яку інформацію, в якому форматі і з якою частотою. Різні стейкхолдери потребують різного рівня деталізації: рада директорів — щомісячний виконавчий summary; команда проєкту — щотижневий статус-звіт; операційні підрозділи — конкретні дедлайни і deliverables.</w:t>
      </w:r>
    </w:p>
    <w:p>
      <w:pPr>
        <w:spacing w:after="120" w:before="240" w:line="360"/>
        <w:ind/>
        <w:jc w:val="both"/>
      </w:pPr>
      <w:r>
        <w:rPr>
          <w:rFonts w:ascii="Times New Roman" w:cs="Times New Roman" w:eastAsia="Times New Roman" w:hAnsi="Times New Roman"/>
          <w:b/>
          <w:bCs/>
          <w:i w:val="false"/>
          <w:iCs w:val="false"/>
          <w:sz w:val="28"/>
          <w:szCs w:val="28"/>
        </w:rPr>
        <w:t xml:space="preserve">6.5.4. Управління змінами і подолання опору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При реалізації проєктів розвитку завжди виникає опір змінам — це нормальна людська реакція, а не ознака «поганих» співробітників. Люди сприймають зміни як загрозу через страх втратити роботу, необхідність освоювати нові навички або зміну звичних процесів. Ігнорувати опір — рецепт провалу; управляти ним системно — умова успіху.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Методи подолання опору: залучення — включення представників тих підрозділів, яких торкаються зміни, до процесу планування (люди рідше чинять опір тому, що самі допомагали будувати); комунікація — регулярне, чесне пояснення «чому» і «що це означає для кожного»; навчання — конкретна підготовка до нових навичок і процесів до їх впровадження; «швидкі перемоги» — демонстрація видимих позитивних результатів протягом перших 90 днів.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Модель Коттера (8 кроків): 1) Створення відчуття нагальності; 2) Формування команди змін; 3) Розробка бачення і стратегії; 4) Комунікація бачення; 5) Усунення перепон; 6) Генерація швидких перемог; 7) Закріплення і продовження змін; 8) Впровадження змін у корпоративну культуру. Критичний крок — 6-й: без «швидких перемог» у перші 3–6 місяців команда і організація втрачають віру в успіх проєкту.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Статистика: управління людьми у проєктах розвитку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70% проєктів цифрової трансформації зазнають невдачі — переважно через людський фактор, а не технологічні проблеми (McKinsey).</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29% проєктів провалюються через незадовільну комунікацію (PMI Pulse of the Profession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Організації, що системно інвестують у Change Management, у 6 разів частіше досягають або перевищують цільовий ROI трансформаційних проєктів (Prosci Change Management Research 2023).</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Тренд 2025: AI-assisted team dynamics — інструменти типу Microsoft Viva та Atlassian Team Anywhere допомагають менеджерам відстежувати рівень залученості команди і виявляти «вигорання» до того, як воно впливає на результати.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Джерела: McKinsey 2024; PMI Pulse 2025; Prosci Change Management Benchmarking Study 2023.</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6.5.5. Культура інновацій та навчання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Довгострокова здатність компанії до розвитку залежить не лише від успіху конкретного проєкту, а від того, яку організаційну культуру він формує. Компанії, що заохочують експерименти, обмін знаннями і постійне вдосконалення, легше адаптуються до змін і отримують стійкі конкурентні переваги.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Навчання співробітників через воркшопи, онлайн-курси, тренінги та обмін досвідом — це не лише розвиток окремих осіб, а й будівництво організаційних компетенцій. Компанії, де кожен проєкт завершується документуванням lessons learned і передачею досвіду, накопичують знання швидше конкурентів. Саме ця здатність — вчитися на власному досвіді — є стратегічним активом, що не копіюється.</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6.5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Організаційний дизайн: матрична + Agile-модель є найпоширенішою для корпоративних проєктів трансформації 2024–2025.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Команда проєкту проходить 4 стадії (Tuckman): Forming → Storming → Norming → Performing. Завдання PM — прискорити перехід до Performing.</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70% трансформацій провалюються через людський фактор; системне управління змінами підвищує ROI у 6 разів (Prosci 2023).</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Модель Коттера: 8 кроків, критичний — 6-й (швидкі перемоги); без них організація втрачає довіру до змін.</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Культура навчання і обміну знаннями — стратегічний актив, що не копіюється.</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Питання для обговорення та практичні завдання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1. Проведіть SWOT і VRIO-аналіз будь-якої відомої вам компанії (або оберіть з переліку: Nova Post, MHP, Kernel, Lifecell, Ukrzaliznytsia). На основі VRIO визначте, які ресурси є джерелом стійкої конкурентної переваги, а які — лише конкурентного паритету. Як це впливає на вибір проєктів розвитку?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2. Практичне завдання: компанія планує запуск нового виробничого об'єкту. CAPEX — 50 млн грн; прогноз доходів: рік 1 — 15 млн грн, рік 2 — 25 млн грн, рік 3 — 35 млн грн, рік 4 — 40 млн грн; OPEX — 18 млн грн/рік. Ставка дисконту — 14%. Розрахуйте NPV, IRR, PI і Payback Period. Проведіть аналіз чутливості для параметрів «ціна» (–15%) і «CAPEX» (+20%). Чи слід реалізовувати проєкт?</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3. Побудуйте BMC (Business Model Canvas) для будь-якого реального або гіпотетичного проєкту розвитку. Покажіть, як кожен блок пов'язаний з іншими і де є найбільш критичні залежності.</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4. На основі матриці Ансоффа: яка стратегія зростання використовується у кожному з таких проєктів — (а) Nova Post відкриває нові відділення в Польщі; (б) Nova Post запускає NovaPay; (в) Amazon запускає AWS? Обґрунтуйте рівень ризику і відповідні управлінські підходи.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5. Компанія впровадила нову CRM-систему (проєкт успішно завершено у строки і в бюджеті), але через 6 місяців 65% менеджерів з продажу повернулися до ведення записів у Excel. Яка фаза ЖЦ і який механізм управління змінами не спрацювали? Розробіть конкретний план виправлення ситуації.</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Загальний підсумок Лекції 6</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 цій лекції ми пройшли повний практичний цикл від аналізу до управління проєктом розвитку — п'ять взаємопов'язаних кроків, що формують основу кожної успішної ініціативи.</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Аналіз (6.1): SWOT + PEST + VRIO — повноцінна система діагностики. VRIO виявляє справжні джерела стійкої конкурентної переваги (цінний + рідкісний + важко відтворюваний + організаційно підтриманий). PEST-аналіз для України 2025–2026 виявляє унікальні можливості ЄС-кандидатства і специфічні ризики воєнного контексту.</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ФЕО (6.2): CAPEX/OPEX → NPV/IRR/PI/DSCR → аналіз чутливості → сценарії → джерела фінансування. DSCR ≥ 1,25 — банківський стандарт. DREAM-платформа + $38 млрд міжнародної допомоги у 2024 — нові можливості для великих проєктів.</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Бізнес-модель (6.3): BMC (9 блоків, розроблений з 470 практиками з 45 країн) + матриця Ансоффа (4 стратегії, ризик зростає від проникнення до диверсифікації). AWS Amazon — $100 млрд+: найризикованіша стратегія → найприбутковіший підрозділ.</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Планування (6.4): WBS (100% правило) + діаграма Ганта + CPM + RAID-журнал (ризики, припущення, проблеми, залежності). 15–25% бюджету і часу на планування — норма, а не надмірність.</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Управління і зміни (6.5): матрична + Agile модель; Tuckman (Forming → Performing); Kotter 8 кроків; критичний 6-й крок — «швидкі перемоги». Системне управління змінами підвищує ROI трансформацій у 6 разів (Prosci 2023).</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Ключові поняття: SWOT, PEST/PESTEL, VRIO, конкурентна перевага, ФЕО, CAPEX, OPEX, Cash Flow, PI, DSCR, аналіз чутливості, ДПП, DREAM-платформа, BMC, матриця Ансоффа, WBS, діаграма Ганта, CPM, RAID-журнал, організаційний дизайн, Tuckman, Kotter 8 кроків, Change Management, культура інновацій.</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 наступній лекції (Лекція 7) ми розглянемо критерії відбору та пріоритизації проєктів розвитку у корпоративному портфелі: як обирати між конкуруючими ініціативами і приймати стратегічно обґрунтовані інвестиційні рішення.</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Рекомендована література до Лекції 6</w:t>
      </w:r>
    </w:p>
    <w:p>
      <w:pPr>
        <w:spacing w:after="120" w:before="240" w:line="360"/>
        <w:ind/>
        <w:jc w:val="both"/>
      </w:pPr>
      <w:r>
        <w:rPr>
          <w:rFonts w:ascii="Times New Roman" w:cs="Times New Roman" w:eastAsia="Times New Roman" w:hAnsi="Times New Roman"/>
          <w:b/>
          <w:bCs/>
          <w:i w:val="false"/>
          <w:iCs w:val="false"/>
          <w:sz w:val="28"/>
          <w:szCs w:val="28"/>
        </w:rPr>
        <w:t xml:space="preserve">Основна:</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 Project Management Institute. A Guide to the Project Management Body of Knowledge (PMBoK Guide). 7th ed. — Newtown Square: PMI, 2021.</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2. Barney J.B. Looking Inside for Competitive Advantage. Academy of Management Executive, Vol. 9, Issue 4, 1995. — P. 49–61.</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3. Osterwalder A., Pigneur Y. Business Model Generation. — Hoboken: Wiley, 2010. — 288 p.</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4. Ansoff H.I. Strategies for Diversification. Harvard Business Review, Sept–Oct 1957.</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5. Kotter J.P. Leading Change. — Boston: Harvard Business Review Press, 2012.</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6. Шапошнікова І.О. Обґрунтування проєктів розвитку компанії: тренінг-курс. — К.: КНУБА, 2026.</w:t>
      </w:r>
    </w:p>
    <w:p>
      <w:pPr>
        <w:spacing w:after="120" w:before="240" w:line="360"/>
        <w:ind/>
        <w:jc w:val="both"/>
      </w:pPr>
      <w:r>
        <w:rPr>
          <w:rFonts w:ascii="Times New Roman" w:cs="Times New Roman" w:eastAsia="Times New Roman" w:hAnsi="Times New Roman"/>
          <w:b/>
          <w:bCs/>
          <w:i w:val="false"/>
          <w:iCs w:val="false"/>
          <w:sz w:val="28"/>
          <w:szCs w:val="28"/>
        </w:rPr>
        <w:t xml:space="preserve">Додаткова:</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7. PMI. Pulse of the Profession 2025. — Newtown Square: PMI, 2025.</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8. Prosci. Best Practices in Change Management. 12th ed. — Loveland: Prosci, 2023.</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9. McKinsey &amp; Company. Digital Transformation 2024. — URL: https://mckinsey.com (дата звернення: 07.05.2026).</w:t>
      </w:r>
    </w:p>
    <w:p>
      <w:pPr>
        <w:spacing w:after="120" w:before="240" w:line="360"/>
        <w:ind/>
        <w:jc w:val="both"/>
      </w:pPr>
      <w:r>
        <w:rPr>
          <w:rFonts w:ascii="Times New Roman" w:cs="Times New Roman" w:eastAsia="Times New Roman" w:hAnsi="Times New Roman"/>
          <w:b/>
          <w:bCs/>
          <w:i w:val="false"/>
          <w:iCs w:val="false"/>
          <w:sz w:val="28"/>
          <w:szCs w:val="28"/>
        </w:rPr>
        <w:t xml:space="preserve">Онлайн-ресурси:</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10. DREAM Platform. Платформа управління проєктами відновлення України. — URL: https://dream.gov.ua (дата звернення: 07.05.2026).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11. Strategyzer. Business Model Canvas. — URL: https://www.strategyzer.com (дата звернення: 07.05.2026).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12. Forbes Ukraine. Nova Post Europe: 800 відділень у 16 країнах. — 2026. — URL: https://open4business.com.ua (дата звернення: 07.05.2026).</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before="120" w:line="360"/>
      <w:ind/>
      <w:jc w:val="center"/>
    </w:pPr>
    <w:r>
      <w:rPr>
        <w:rFonts w:ascii="Times New Roman" w:cs="Times New Roman" w:eastAsia="Times New Roman" w:hAnsi="Times New Roman"/>
        <w:b w:val="false"/>
        <w:bCs w:val="false"/>
        <w:i w:val="false"/>
        <w:iCs w:val="false"/>
        <w:sz w:val="28"/>
        <w:szCs w:val="2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2026-05-08T20:58:36.995Z</dcterms:created>
  <dcterms:modified xsi:type="dcterms:W3CDTF">2026-05-08T20:58:37.012Z</dcterms:modified>
</cp:coreProperties>
</file>

<file path=docProps/custom.xml><?xml version="1.0" encoding="utf-8"?>
<Properties xmlns="http://schemas.openxmlformats.org/officeDocument/2006/custom-properties" xmlns:vt="http://schemas.openxmlformats.org/officeDocument/2006/docPropsVTypes"/>
</file>