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40" w:before="60" w:line="360"/>
              <w:ind/>
              <w:jc w:val="center"/>
            </w:pPr>
            <w:r>
              <w:rPr>
                <w:rFonts w:ascii="Times New Roman" w:cs="Times New Roman" w:eastAsia="Times New Roman" w:hAnsi="Times New Roman"/>
                <w:b/>
                <w:bCs/>
                <w:i w:val="false"/>
                <w:iCs w:val="false"/>
                <w:sz w:val="24"/>
                <w:szCs w:val="24"/>
              </w:rPr>
              <w:t xml:space="preserve">КУРС: ОБҐРУНТУВАННЯ ПРОЄКТІВ РОЗВИТКУ КОМПАНІЇ</w:t>
            </w:r>
          </w:p>
          <w:p>
            <w:pPr>
              <w:spacing w:after="40" w:before="40" w:line="360"/>
              <w:ind/>
              <w:jc w:val="center"/>
            </w:pPr>
            <w:r>
              <w:rPr>
                <w:rFonts w:ascii="Times New Roman" w:cs="Times New Roman" w:eastAsia="Times New Roman" w:hAnsi="Times New Roman"/>
                <w:b/>
                <w:bCs/>
                <w:i w:val="false"/>
                <w:iCs w:val="false"/>
                <w:sz w:val="32"/>
                <w:szCs w:val="32"/>
              </w:rPr>
              <w:t xml:space="preserve">Лекція 5</w:t>
            </w:r>
          </w:p>
          <w:p>
            <w:pPr>
              <w:spacing w:after="60" w:before="40" w:line="360"/>
              <w:ind/>
              <w:jc w:val="center"/>
            </w:pPr>
            <w:r>
              <w:rPr>
                <w:rFonts w:ascii="Times New Roman" w:cs="Times New Roman" w:eastAsia="Times New Roman" w:hAnsi="Times New Roman"/>
                <w:b/>
                <w:bCs/>
                <w:i w:val="false"/>
                <w:iCs w:val="false"/>
                <w:sz w:val="28"/>
                <w:szCs w:val="28"/>
              </w:rPr>
              <w:t xml:space="preserve">КІЛЬКІСНА ВИМІРЮВАНІСТЬ ПАРАМЕТРІВ ПРОЄКТУ РОЗВИТКУ КОМПАНІЇ</w:t>
            </w:r>
          </w:p>
          <w:p>
            <w:pPr>
              <w:spacing w:after="20" w:before="60" w:line="360"/>
              <w:ind/>
              <w:jc w:val="left"/>
            </w:pPr>
            <w:r>
              <w:rPr>
                <w:rFonts w:ascii="Times New Roman" w:cs="Times New Roman" w:eastAsia="Times New Roman" w:hAnsi="Times New Roman"/>
                <w:b/>
                <w:bCs/>
                <w:i w:val="false"/>
                <w:iCs w:val="false"/>
                <w:sz w:val="24"/>
                <w:szCs w:val="24"/>
              </w:rPr>
              <w:t xml:space="preserve">У лекції розкрито:</w:t>
            </w:r>
          </w:p>
          <w:p>
            <w:pPr>
              <w:spacing w:after="20" w:before="0" w:line="360"/>
              <w:ind/>
              <w:jc w:val="both"/>
            </w:pPr>
            <w:r>
              <w:rPr>
                <w:rFonts w:ascii="Times New Roman" w:cs="Times New Roman" w:eastAsia="Times New Roman" w:hAnsi="Times New Roman"/>
                <w:b w:val="false"/>
                <w:bCs w:val="false"/>
                <w:i/>
                <w:iCs/>
                <w:sz w:val="24"/>
                <w:szCs w:val="24"/>
              </w:rPr>
              <w:t xml:space="preserve">– чому кількісне вимірювання є ключем до управлінських рішень у проєктах розвитку;</w:t>
            </w:r>
          </w:p>
          <w:p>
            <w:pPr>
              <w:spacing w:after="20" w:before="0" w:line="360"/>
              <w:ind/>
              <w:jc w:val="both"/>
            </w:pPr>
            <w:r>
              <w:rPr>
                <w:rFonts w:ascii="Times New Roman" w:cs="Times New Roman" w:eastAsia="Times New Roman" w:hAnsi="Times New Roman"/>
                <w:b w:val="false"/>
                <w:bCs w:val="false"/>
                <w:i/>
                <w:iCs/>
                <w:sz w:val="24"/>
                <w:szCs w:val="24"/>
              </w:rPr>
              <w:t xml:space="preserve">– які шість груп параметрів дозволяють повноцінно оцінити ефективність проєкту;</w:t>
            </w:r>
          </w:p>
          <w:p>
            <w:pPr>
              <w:spacing w:after="20" w:before="0" w:line="360"/>
              <w:ind/>
              <w:jc w:val="both"/>
            </w:pPr>
            <w:r>
              <w:rPr>
                <w:rFonts w:ascii="Times New Roman" w:cs="Times New Roman" w:eastAsia="Times New Roman" w:hAnsi="Times New Roman"/>
                <w:b w:val="false"/>
                <w:bCs w:val="false"/>
                <w:i/>
                <w:iCs/>
                <w:sz w:val="24"/>
                <w:szCs w:val="24"/>
              </w:rPr>
              <w:t xml:space="preserve">– як застосовуються методи KPI, BSC, SMART, бенчмаркінг та сценарне моделювання;</w:t>
            </w:r>
          </w:p>
          <w:p>
            <w:pPr>
              <w:spacing w:after="60" w:before="0" w:line="360"/>
              <w:ind/>
              <w:jc w:val="both"/>
            </w:pPr>
            <w:r>
              <w:rPr>
                <w:rFonts w:ascii="Times New Roman" w:cs="Times New Roman" w:eastAsia="Times New Roman" w:hAnsi="Times New Roman"/>
                <w:b w:val="false"/>
                <w:bCs w:val="false"/>
                <w:i/>
                <w:iCs/>
                <w:sz w:val="24"/>
                <w:szCs w:val="24"/>
              </w:rPr>
              <w:t xml:space="preserve">– як ESG-параметри стають стандартом звітності для доступу до міжнародного капіталу.</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5.1. Чому кількісне вимірювання є основою управлінських рішень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Будь-який проєкт розвитку компанії — це інвестиція ресурсів (фінансів, часу, людського капіталу) у майбутні результати. Але сам факт реалізації проєкту не гарантує його ефективності. Керівництво, інвестори та партнери повинні бачити не лише розповідь про успіх, а конкретні, верифіковані цифри, що підтверджують, що інвестиції дали очікуваний ефект.</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Кількісне вимірювання параметрів проєкту виконує чотири ключові управлінські функції. По-перше, об'єктивність: оцінюються реальні параметри (наприклад, ROI = 18%), а не суб'єктивні враження менеджерів. По-друге, контроль: керівники відстежують прогрес у реальному часі і швидко реагують на відхилення, ще до того, як вони стають критичними. По-третє, порівнянність: кількісні показники дозволяють зіставити кілька проєктів між собою і обрати найефективніший для включення в портфель. По-четверте, прозорість: усі зацікавлені сторони — акціонери, кредитори, регулятори, ESG-інвестори — бачать реальний ефект проєкту у вигляді зрозумілих цифр.</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Відсутність кількісних параметрів — не просто методологічна прогалина, а управлінська катастрофа. Без чітких метрик проєкт існує у вакуумі: неможливо обґрунтувати його продовження або зупинку, неможливо порівняти з альтернативами і неможливо звітувати перед стейкхолдерами. Саме тому побудова системи вимірювання параметрів є обов'язковою частиною обґрунтування кожного проєкту розвитку.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Статистика: вимірювання як чинник успіху проєктів (PMI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Організації з формальною системою KPI досягають цілей проєкту у 73% випадків; організації без такої системи — лише у 58%.</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Проєкти із чітко визначеними критеріями успіху (вимірювання за 3 параметрами) мають NPSS +54 проти +31 за часткового вимірювання.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12% загального обсягу проєктних інвестицій втрачається через відсутність формального управління та вимірювання (PMI).</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29% проєктів зазнають невдачі через незадовільну комунікацію — відсутність спільних вимірюваних цілей є першопричиною (PMI).</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PMI Pulse of the Profession 2025; TeamStage Project Management Statistics 2024.</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5.1</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Кількісне вимірювання виконує 4 управлінські функції: об'єктивність, контроль, порівнянність, прозорість.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Організації з формальними KPI досягають цілей у 73% vs 58% без них — різниця системна і суттєва.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Відсутність метрик — не нейтральна позиція, а управлінська помилка, що прямо знижує ефективність проєкту.</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5.2. Шість груп параметрів проєктів розвитку компанії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Повноцінна система вимірювання ефективності проєкту розвитку охоплює шість груп параметрів. Кожна група вимірює окремий вимір цінності, яку створює проєкт — від безпосереднього фінансового ефекту до довгострокового стратегічного і соціального впливу. Використання лише однієї групи (наприклад, виключно фінансових показників) дає неповну картину і може призвести до хибних управлінських рішень.</w:t>
      </w:r>
    </w:p>
    <w:p>
      <w:pPr>
        <w:spacing w:after="120" w:before="240" w:line="360"/>
        <w:ind/>
        <w:jc w:val="both"/>
      </w:pPr>
      <w:r>
        <w:rPr>
          <w:rFonts w:ascii="Times New Roman" w:cs="Times New Roman" w:eastAsia="Times New Roman" w:hAnsi="Times New Roman"/>
          <w:b/>
          <w:bCs/>
          <w:i w:val="false"/>
          <w:iCs w:val="false"/>
          <w:sz w:val="28"/>
          <w:szCs w:val="28"/>
        </w:rPr>
        <w:t xml:space="preserve">Група 1. Фінансові показники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Фінансові показники — базові інструменти оцінки доцільності та результативності проєкту. Вони мають ключове значення при прийнятті рішення про запуск, а також при оцінці фактичного ефекту після завершення.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Рентабельність інвестицій (ROI, Return on Investment) показує, скільки прибутку приносить кожна вкладена гривня. ROI = (Чистий прибуток / Інвестиції) × 100%. Позитивний ROI підтверджує доцільність; ROI нижче альтернативної дохідності (наприклад, ставки за депозитом) сигналізує, що ресурси використані субоптимально.</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Чиста приведена вартість (NPV, Net Present Value) — різниця між теперішньою вартістю грошових потоків і початковими інвестиціями. NPV &gt; 0 означає, що проєкт створює додану вартість: він генерує більше, ніж коштує залучений капітал. NPV &lt; 0 — знищує вартість, навіть якщо загальний грошовий потік позитивний.</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Внутрішня норма доходності (IRR, Internal Rate of Return) — ставка дисконту, при якій NPV = 0. IRR порівнюється з вартістю капіталу (WACC): якщо IRR &gt; WACC — проєкт генерує більше, ніж коштує фінансування. Для відбору між кількома проєктами обирають той, у якого вища IRR за інших рівних умов.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Термін окупності (Payback Period) показує, за який час інвестиції повернуться. Простий у розрахунку, але не враховує часову вартість грошей — тому використовується разом із NPV, а не замість нього.</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Розрахунок фінансових параметрів: проєкт автоматизації складу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Компанія інвестує 5 млн грн в автоматизацію складу (роботи-сортувальники). Прогноз грошових потоків: рік 1 — 1,2 млн грн; рік 2 — 1,8 млн грн; рік 3 — 2,2 млн грн; рік 4 — 2,0 млн грн.</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ROI (сукупний за 4 роки): (7,2 – 5,0) / 5,0 × 100% = 44% — привабливо.</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NPV при ставці дисконту 12%: 1,2/1,12 + 1,8/1,12² + 2,2/1,12³ + 2,0/1,12⁴ – 5,0 ≈ +1,28 млн грн → проєкт створює вартість.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IRR: ≈ 22% &gt; WACC 12% → проєкт вигідний.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Payback Period: ~2,8 роки.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Висновок: усі фінансові індикатори підтверджують доцільність. Проєкт проходить фінансовий фільтр і може бути переданий на стратегічну оцінку.</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Група 2. Стратегічні та бізнесові параметри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Стратегічні параметри демонструють, наскільки проєкт сприяє досягненню довгострокових цілей компанії — тих, що не завжди відображаються у фінансовій звітності поточного року, але формують конкурентну позицію у майбутньому.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Зростання ринкової частки (%) — один із найбільш інформативних стратегічних індикаторів. Він відображає, чи покращила компанія свою позицію відносно конкурентів після реалізації проєкту. Рівень капіталізації — ринкова вартість компанії — є сигналом для інвесторів: зростання капіталізації після успішного проєкту підтверджує, що ринок позитивно оцінює стратегічні рішення менеджменту.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Кількість нових клієнтів і контрактів — прямий вимір ринкового ефекту. Розширення географії присутності (кількість ринків, на яких компанія активна) є особливо важливим показником для проєктів ринкової або продуктової експансії. Для компаній, що виходять на ринок ЄС, стратегічним параметром стає і відповідність стандартам якості (GlobalGAP, ISO, BRC) — без цього вихід неможливий.</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Nova Post Europe: стратегічні параметри програми експансії (2022–2025)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Зростання кількості країн присутності: з 0 (2021) до 16 (кінець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Зростання кількості відділень у ЄС: з кількох десятків (2022) до 800+ (кінець 2025) — подвоєння за 2025 рік.</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Прибутковість на нових ринках: досягнута у Польщі, Молдові, Чехії та Латвії вже у Q4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Консолідований дохід групи Nova Post у 2024 — 54,2 млрд грн (+24% рік до року).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Ці стратегічні параметри демонструють ефект програми набагато краще, ніж будь-який одиночний фінансовий показник.</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Forbes Ukraine, лютий 2026; open4business.com.ua, лютий 2026.</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Група 3. Операційні параметри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Операційні параметри оцінюють ефективність внутрішніх процесів і використання ресурсів. Вони особливо важливі для технологічних і організаційних проєктів — тих, що оптимізують «внутрішню кухню» компанії.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Продуктивність праці — виробіток на одного працівника — відображає, наскільки ефективніше використовується людський капітал після реалізації проєкту. Скорочення витрат (%) — прямий фінансовий ефект операційних проєктів: впровадження ERP-системи може знизити витрати на закупівлі на 10–15%, автоматизація складу — скоротити час обробки замовлення на 30–40%.</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Швидкість процесів — час на виконання типової операції. Наприклад, час виходу нового продукту на ринок (time-to-market): скорочення цього показника з 12 до 8 місяців означає, що компанія реагує на ринкові можливості на 33% швидше. Рівень автоматизації (%) показує, яка частка операцій виконується без участі людини, — критичний показник для оцінки прогресу в проєктах цифрової трансформації.</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DTEK: операційні параметри цифрової трансформації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Після впровадження ERP IT-Enterprise для 20 000+ співробітників DTEK отримав вимірювані операційні результати: скорочення часу закриття місячної фінансової звітності; уніфікація HR-даних по всіх підприємствах групи; зниження частки ручного введення даних у ключових процесах.</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Паралельно DTEK реалізує стратегічну програму переходу до відновлюваної енергетики: EU renewables portfolio DRI — 1,4 ГВт операційних та проєктних потужностей у Румунії, Хорватії, Італії та Польщі. Операційний KPI: частка відновлюваної енергії у загальному виробництві.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IT Ukraine Association 2026; DTEK Sustainability in Action 2024.</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Група 4. Параметри якості та ефективності</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Ця група параметрів пов'язана з результатами для клієнтів та якістю внутрішніх процесів. Вони є «мостом» між операційними покращеннями і ринковим ефектом.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Рівень дефектності = (Дефектні вироби / Загальний обсяг) × 100%. Для виробничих компаній скорочення дефектності — прямий вимір результативності проєктів з підвищення якості. Індекс лояльності клієнтів (NPS, Net Promoter Score) відображає готовність клієнтів рекомендувати продукт або компанію. NPS від –100 до +100; значення понад 50 вважається відмінним.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Виконання KPI — частка завдань, виконаних у встановлені строки, — інтегральний показник управлінської дисципліни проєктної команди. Середній час безвідмовної роботи (MTBF, Mean Time Between Failures) та середній час відновлення (MTTR, Mean Time To Repair) — специфічні показники для технологічних і інфраструктурних проєктів: зростання MTBF означає підвищення надійності, зменшення MTTR — ефективність сервісного обслуговування.</w:t>
      </w:r>
    </w:p>
    <w:p>
      <w:pPr>
        <w:spacing w:after="120" w:before="240" w:line="360"/>
        <w:ind/>
        <w:jc w:val="both"/>
      </w:pPr>
      <w:r>
        <w:rPr>
          <w:rFonts w:ascii="Times New Roman" w:cs="Times New Roman" w:eastAsia="Times New Roman" w:hAnsi="Times New Roman"/>
          <w:b/>
          <w:bCs/>
          <w:i w:val="false"/>
          <w:iCs w:val="false"/>
          <w:sz w:val="28"/>
          <w:szCs w:val="28"/>
        </w:rPr>
        <w:t xml:space="preserve">Група 5. Інноваційні та цифрові параметри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П'ята група оцінює, наскільки компанія стає більш сучасною та технологічною завдяки реалізації проєктів розвитку. В умовах 2025–2026 років цифровізація і здатність до інновацій є критичними конкурентними чинниками.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Кількість нових продуктів або сервісів за рік — показник інноваційної активності. Компанії, що регулярно оновлюють своє портфоліо, демонструють вищу ринкову гнучкість. Відсоток доходу від інноваційних продуктів — стратегічна метрика, що відображає, наскільки нові ініціативи стають комерційно значущими. Рівень цифровізації процесів (%) — частка процесів компанії, що реалізуються через цифрові інструменти або системи.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MHP: інноваційні параметри сталого агровиробництва</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MHP — один із найбільших виробників курятини в Україні та Єврпоі — послідовно розширює інноваційні параметри вимірювання ефективності своїх проєктів розвитку.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Рівень цифровізації: у 2024 році площа застосування змінних норм внесення добрив (variable-rate fertiliser application) зросла до 61 052 гектарів (2023: 9 755 гектарів) — зростання у 6,3 рази.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Відсоток доходу від нових продуктів: частка value-added products (продукти переробки, кулінарні вироби) у загальній виручці зростає щороку.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Відновлювана сертифікація: GLOBAL G.A.P. та ISCC сертифікація на 3 та 15 об'єктах відповідно у 2024 році.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Вуглецеві кредити: площа земельного банку, що бере участь у вуглецевих проєктах, зросла на 40% у 2024 році.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MHP Integrated Annual Report 2024.</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Група 6. ESG-параметри (Environmental, Social, Governance)</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ESG (Environmental, Social, Governance) — сукупність нефінансових критеріїв оцінки діяльності компанії, що охоплюють її вплив на довкілля, взаємодію із суспільством і якість корпоративного управління. У 2024–2026 роках ESG-параметри перейшли з категорії «бажаних» у категорію «обов'язкових» — як мінімум для компаній, що прагнуть доступу до міжнародного капіталу або ринків ЄС.</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Екологічні параметри (E): зменшення обсягу викидів CO₂ (% або тонни); частка відновлюваної енергії у загальному споживанні (%); обсяг споживання енергії на одиницю продукції (кВт·год); рівень утилізації або переробки відходів (%). Соціальні параметри (S): кількість створених робочих місць; частка витрат на навчання персоналу (% від доходу); рівень плинності персоналу (%); рівень задоволеності працівників (індекс за опитуваннями). Управлінські параметри (G): наявність прозорої корпоративної звітності (аудити, публічні звіти); частка незалежних членів у наглядовій раді (%); наявність політик етики та комплаєнсу; кількість виявлених порушень корпоративних стандартів.</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ESG в Україні: ключові дані (2024–2026)</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Середній ESG Maturity Index серед найбільших українських банків — 46,8% (2024), що означає: приблизно половина інформації, яку повністю прозорий банк мав би розкривати, є доступною (ResearchGate,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Іноземні банки в Україні демонструють ESG-зрілість 62,7%; державні — 52,3%; локальні приватні — лише 32,3%.</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DTEK: зобов'язання повної відмови від вугільної генерації до 2035 року; членство в Powering Past Coal Alliance (PPCA); портфель відновлюваної енергетики в ЄС — 1,4 ГВт.</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MHP: генерація вуглецевих кредитів від сталого землеробства; площа, що бере участь у вуглецевих проєктах, зросла на 40% у 2024 році.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Україна затвердила 86 національних завдань Цілей сталого розвитку (ЦСР) до 2030 року (Міністерство економіки України).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Компанії, що готуються до виходу на ринки ЄС або залучення іноземних інвестицій, зобов'язані дотримуватися CSRD (Corporate Sustainability Reporting Directive) починаючи з 2025–2026 років.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Джерела: ResearchGate ESG Maturity Ukraine 2025; DTEK Sustainability in Action 2024; MHP Annual Report 2024; Ministry of Economy of Ukraine.</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Типова управлінська помилка: формальна ESG-звітність без реального змісту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Дослідження Kyiv School of Economics (2025) виявило тенденцію «greenwashing» — коли компанії публікують ESG-звіти з красивими показниками, що не підкріплені реальними змінами. Середній ESG Maturity Index 46,8% для українських банків підтверджує: відповідати вимогам формально і реально трансформувати практики — не одне й те саме.</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Практичне правило: ESG-параметри мають бути інтегровані в систему KPI проєкту на етапі планування, а не додані «заднім числом» у звіт після завершення. Тільки так вони стають реальним управлінським інструментом, а не іміджевим елементом.</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KSE. ESG in Ukraine: Is Everyone Faking It? 2025.</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5.1. Зведена система кількісних параметрів проєктів розвитку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30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Група параметрів</w:t>
            </w:r>
          </w:p>
        </w:tc>
        <w:tc>
          <w:tcPr>
            <w:tcW w:type="dxa" w:w="2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Ключові показники</w:t>
            </w:r>
          </w:p>
        </w:tc>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Одиниці вимірювання</w:t>
            </w:r>
          </w:p>
        </w:tc>
        <w:tc>
          <w:tcPr>
            <w:tcW w:type="dxa" w:w="30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Приклад цільового значення</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 Фінансові</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ROI, NPV, IRR, Payback Period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 грн, роки</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ROI ≥ 15%, NPV &gt; 0, IRR &gt; WACC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2. Стратегічні та бізнесові</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Ринкова частка, капіталізація, нові клієнти, географія</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кількість, ринків</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Ринкова частка +4 п.п., 500 нових клієнтів</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3. Операційні</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Продуктивність, скорочення витрат, time-to-market, автоматизація</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 дні, грн/ос.</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Витрати –12%, time-to-market –30%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 Якість і ефективність</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Дефектність, NPS, виконання KPI, MTBF/MTTR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 бали, годин</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NPS &gt; 60, дефектність &lt; 0,5%</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5. Інноваційні та цифрові</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Нові продукти/рік, % доходу від інновацій, рівень цифровізації</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 шт.</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40% доходу від нових продуктів за 2 роки</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 ESG</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CO₂, відновлювана енергія, робочі місця, плинність, комплаєнс</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 тонни, шт.</w:t>
            </w:r>
          </w:p>
        </w:tc>
        <w:tc>
          <w:tcPr>
            <w:tcW w:type="dxa" w:w="3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CO₂ –15%, відновлювана енергія 50%</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тренінг-курсу І.О. Шапошнікової (КНУБА, 2026); PMBoK 7th ed. (PMI, 2021).</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5.2</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Шість груп параметрів охоплюють повний спектр ефектів проєкту розвитку: від фінансових до соціально-екологічних.</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Використання лише фінансових показників дає неповну картину і може призвести до хибних рішень.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ESG-параметри стали обов'язковими для компаній, що прагнуть доступу до міжнародного капіталу або ринків ЄС (CSRD з 2025–2026).</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Кожна група параметрів повинна бути заздалегідь визначена при плануванні проєкту, а не додана пост-фактум.</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5.3. Методи кількісної оцінки ефективності проєктів розвитку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Визначивши групи параметрів, необхідно вибрати методи, за допомогою яких ці параметри будуть встановлюватися, відстежуватися та оцінюватися. У сучасній практиці управління проєктами розвитку використовують п'ять ключових методів: KPI, BSC, SMART-критерії, бенчмаркінг і сценарне моделювання. Кожен з них виконує свою специфічну роль і не є альтернативою іншим — ефективна система поєднує їх усі.</w:t>
      </w:r>
    </w:p>
    <w:p>
      <w:pPr>
        <w:spacing w:after="120" w:before="240" w:line="360"/>
        <w:ind/>
        <w:jc w:val="both"/>
      </w:pPr>
      <w:r>
        <w:rPr>
          <w:rFonts w:ascii="Times New Roman" w:cs="Times New Roman" w:eastAsia="Times New Roman" w:hAnsi="Times New Roman"/>
          <w:b/>
          <w:bCs/>
          <w:i w:val="false"/>
          <w:iCs w:val="false"/>
          <w:sz w:val="28"/>
          <w:szCs w:val="28"/>
        </w:rPr>
        <w:t xml:space="preserve">Метод 1. Ключові показники ефективності (KPI)</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KPI (Key Performance Indicators) — система вимірюваних показників, що відображають досягнення цілей проєкту або компанії у кількісній формі. Кожен KPI складається з чотирьох елементів: цілі (що вимірюється), метрики (одиниця вимірювання), цільового значення (якого рівня потрібно досягти) і періоду вимірювання.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KPI задають напрям розвитку і дозволяють менеджерам бачити, чи відповідає проєкт очікуванням. Якщо KPI не виконуються, керівництво приймає рішення про коригування або закриття проєкту — це є класичним механізмом зворотного зв'язку в управлінні. Без KPI немає зворотного зв'язку, без зворотного зв'язку немає управління.</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Приклади KPI у проєктах розвитку різних типів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Технологічний проєкт (ERP): рівень автоматизації звітності &gt; 80%; скорочення часу закриття місячної звітності з 10 до 3 днів; відсоток даних у єдиній системі &gt; 95%.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Ринковий проєкт (вихід на ринок ЄС): кількість нових ринків за 2 роки = 5; частка експортного доходу &gt; 30%; NPS на нових ринках &gt; 40.</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Організаційний проєкт (впровадження OKR): частка цілей, виконаних на ≥ 70%, &gt; 80%; рівень задоволеності персоналу &gt; 75%; плинність &lt; 10%.</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ESG-проєкт (зниження викидів): зменшення CO₂ на 15% за 2 роки; частка відновлюваної енергії &gt; 40%; оцінка в ESG-рейтингу ≥ BB.</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Метод 2. Збалансована система показників (BSC)</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Збалансована система показників (BSC, Balanced Scorecard) — методика стратегічного управління, розроблена Робертом Капланом і Девідом Нортоном у 1992 році. BSC перекладає абстрактні стратегічні цілі в конкретні вимірювані показники (KPI) за чотирма взаємопов'язаними перспективами.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Фінансова перспектива відповідає на питання: «Як нас сприймають акціонери?» — показники ROI, NPV, виручка, EBITDA. Клієнтська перспектива: «Як нас сприймають клієнти?» — NPS, частка ринку, рівень задоволеності, повторні покупки. Перспектива внутрішніх бізнес-процесів: «У чому ми маємо перевершувати?» — продуктивність, якість, time-to-market, рівень дефектності. Перспектива розвитку та навчання: «Чи можемо ми продовжувати вдосконалюватися?» — кваліфікація персоналу, інновації, рівень цифровізації, ESG.</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Принципова цінність BSC полягає у тому, що він пов'язує ці чотири перспективи в єдину систему причинно-наслідкових зв'язків: навчання персоналу → покращення внутрішніх процесів → вища задоволеність клієнтів → кращі фінансові результати. BSC перетворює набір KPI з «дашборду даних» на «стратегічну карту» компанії.</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BSC у світовій практиці (2024–2025)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Понад половина великих компаній у США, Європі та Азії використовують BSC — визнання Bain &amp; Company (Bain Management Tools Survey).</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BSC визнано Harvard Business Review одним із найвпливовіших управлінських концептів за останні 75 років.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Систематичний огляд 136 досліджень (2024) підтверджує: BSC ефективно покращує виконання стратегії як у великих корпораціях, так і в SME.</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Сучасний тренд: інтеграція ESG-метрик у BSC (S-BSC — Sustainability BSC) і AI-аналітики для автоматичного відстеження показників.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Agile BSC дозволяє компаніям відстежувати щоденні KPI і швидко реагувати на зміни — особливо релевантно для гібридних підходів до управління проєктами.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Джерела: Balanced Scorecard Institute, 2025; MDPI BSC History Review, 2025; Tandfonline Agile BSC, 2025.</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5.2. Чотири перспективи BSC та їхні KPI у проєктах розвитку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20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Перспектива BSC</w:t>
            </w:r>
          </w:p>
        </w:tc>
        <w:tc>
          <w:tcPr>
            <w:tcW w:type="dxa" w:w="2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Ключове питання</w:t>
            </w:r>
          </w:p>
        </w:tc>
        <w:tc>
          <w:tcPr>
            <w:tcW w:type="dxa" w:w="34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Типові KPI для проєктів розвитку</w:t>
            </w:r>
          </w:p>
        </w:tc>
        <w:tc>
          <w:tcPr>
            <w:tcW w:type="dxa" w:w="20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Зв'язок з іншими перспективами</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Фінансова</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Як нас сприймають акціонери?</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ROI, NPV, IRR, виручка від нових продуктів, EBITDA</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Результат покращень у 3 інших перспективах</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Клієнтська</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Як нас сприймають клієнти?</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NPS, ринкова частка, кількість нових клієнтів, retention rate</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Впливає на фінансову перспективу через виручку</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Внутрішні процеси</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У чому ми маємо перевершувати?</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Дефектність, time-to-market, автоматизація, продуктивність</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Визначає здатність задовольняти клієнтів</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Розвиток і навчання</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Чи можемо ми продовжувати вдосконалюватися?</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Кваліфікація, рівень цифровізації, інновації, ESG, плинність</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Основа для покращень у всіх інших перспективах</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Kaplan R., Norton D. The Balanced Scorecard. Harvard Business Review Press, 1996; адаптовано авторами.</w:t>
      </w:r>
    </w:p>
    <w:p>
      <w:pPr>
        <w:spacing w:after="120" w:before="240" w:line="360"/>
        <w:ind/>
        <w:jc w:val="both"/>
      </w:pPr>
      <w:r>
        <w:rPr>
          <w:rFonts w:ascii="Times New Roman" w:cs="Times New Roman" w:eastAsia="Times New Roman" w:hAnsi="Times New Roman"/>
          <w:b/>
          <w:bCs/>
          <w:i w:val="false"/>
          <w:iCs w:val="false"/>
          <w:sz w:val="28"/>
          <w:szCs w:val="28"/>
        </w:rPr>
        <w:t xml:space="preserve">Метод 3. SMART-критерії для постановки цілей</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SMART — це стандарт постановки цілей і параметрів проєкту, що забезпечує їхню вимірюваність і реалістичність. Кожна ціль або KPI проєкту має відповідати п'яти критеріям: Specific (конкретна — чітко визначена без двозначностей); Measurable (вимірювана — існує кількісний показник досягнення); Achievable (досяжна — реалістична з урахуванням ресурсів); Relevant (доречна — пов'язана зі стратегічними цілями компанії); Time-bound (обмежена в часі — має чітку дату досягнення).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SMART-критерії застосовуються передусім на етапі ініціації та планування проєкту — щоб ціль перетворилася на конкретну управлінську задачу, а не залишилася на рівні загальних прагнень. Приклад трансформації: «Збільшити продажі» → SMART: «Збільшити виручку від нових продуктів на 25% за 18 місяців за рахунок виходу на ринок Польщі та Чехії».</w:t>
      </w:r>
    </w:p>
    <w:p>
      <w:pPr>
        <w:spacing w:after="120" w:before="240" w:line="360"/>
        <w:ind/>
        <w:jc w:val="both"/>
      </w:pPr>
      <w:r>
        <w:rPr>
          <w:rFonts w:ascii="Times New Roman" w:cs="Times New Roman" w:eastAsia="Times New Roman" w:hAnsi="Times New Roman"/>
          <w:b/>
          <w:bCs/>
          <w:i w:val="false"/>
          <w:iCs w:val="false"/>
          <w:sz w:val="28"/>
          <w:szCs w:val="28"/>
        </w:rPr>
        <w:t xml:space="preserve">Метод 4. Бенчмаркінг</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Бенчмаркінг — систематичне порівняння показників компанії з кращими практиками галузі (best-in-class) або прямими конкурентами. Він дозволяє відповісти на питання: наскільки наші показники ефективні не в абсолютному вимірі, а відносно ринку? Компанія може мати ROI = 15% і вважати це успіхом — але якщо середнє по галузі становить 25%, це сигнал про недостатню ефективність.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Для проєктів розвитку бенчмаркінг застосовується у трьох вимірах: зовнішній (порівняння з конкурентами), функціональний (порівняння окремих процесів з лідерами у суміжних галузях) і внутрішній (порівняння ефективності різних підрозділів або проєктів всередині компанії). Джерела для бенчмаркінгу: галузеві звіти (PMI, McKinsey, Deloitte), рейтинги Forbes, бази даних типу Statista або IBISWorld, публічна корпоративна звітність (ESG-звіти, річні звіти).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Kernel: бенчмаркінг у сталому агровиробництві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Kernel використовує бенчмаркінг для оцінки своїх показників сталого розвитку та цифровізації відносно глобальних стандартів агробізнесу. Сертифікація GLOBAL G.A.P. та ISCC слугує точкою бенчмаркінгу для оцінки відповідності міжнародним стандартам якості та сталості.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Порівняльний аналіз yield per hectare (врожайність на гектар) і carbon footprint дозволяє Kernel відстежувати конкурентоспроможність своїх агрономічних практик відносно провідних агрохолдингів Центральної та Східної Європи.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Kernel Annual Report 2024.</w:t>
            </w:r>
          </w:p>
        </w:tc>
      </w:tr>
    </w:tbl>
    <w:p>
      <w:pPr>
        <w:spacing w:after="120" w:before="240" w:line="360"/>
        <w:ind/>
        <w:jc w:val="both"/>
      </w:pPr>
      <w:r>
        <w:rPr>
          <w:rFonts w:ascii="Times New Roman" w:cs="Times New Roman" w:eastAsia="Times New Roman" w:hAnsi="Times New Roman"/>
          <w:b/>
          <w:bCs/>
          <w:i w:val="false"/>
          <w:iCs w:val="false"/>
          <w:sz w:val="28"/>
          <w:szCs w:val="28"/>
        </w:rPr>
        <w:t xml:space="preserve">Метод 5. Сценарне моделювання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Сценарне моделювання — метод кількісного аналізу, що дозволяє оцінити ефективність проєкту за різних припущень щодо зовнішнього середовища та внутрішніх параметрів. Замість одного прогнозного значення будують три сценарії: базовий (найімовірніший), оптимістичний (найсприятливіші умови) і стресовий (несприятливі умови — криза, ріст витрат, падіння попиту).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Сценарний аналіз особливо важливий для великих і довгострокових проєктів, де рівень невизначеності є суттєвим. Він дозволяє заздалегідь визначити «точки прориву» — критичні значення параметрів (ціна, попит, витрати), при яких проєкт перестає бути рентабельним, і сформувати план дій для кожного сценарію. Сучасний варіант методу — AI-assisted scenario modeling: системи типу Power BI або спеціалізовані рішення на базі машинного навчання будують імовірнісні розподіли результатів на основі сотень тисяч симуляцій (метод Монте-Карло).</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Сценарне моделювання для виходу на ринок ЄС</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Компанія обирає між трьома ринками для першого виходу в ЄС: Польща, Чехія та Румунія. Для кожного ринку будуються три сценарії на 3 роки.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Базовий: зростання виручки 15%/рік, операційна рентабельність 8%, окупність — 2,5 роки.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Оптимістичний (швидке зростання попиту, слабка конкуренція): рентабельність 14%, окупність — 1,8 роки.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Стресовий (ціновий тиск конкурентів, коливання курсу): рентабельність 2%, окупність — 5+ років, NPV &lt; 0 при ставці 12%.</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Висновок: при стресовому сценарії Румунія має від'ємний NPV, Польща — позитивний, Чехія — граничний. Рішення: пріоритет Польщі з хеджуванням валютних ризиків.</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5.3. Порівняння методів кількісної оцінки проєктів розвитку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840"/>
      </w:tblGrid>
      <w:tr>
        <w:trPr>
          <w:tblHeader/>
        </w:trPr>
        <w:tc>
          <w:tcPr>
            <w:tcW w:type="dxa" w:w="18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Метод</w:t>
            </w:r>
          </w:p>
        </w:tc>
        <w:tc>
          <w:tcPr>
            <w:tcW w:type="dxa" w:w="28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Для чого використовується</w:t>
            </w:r>
          </w:p>
        </w:tc>
        <w:tc>
          <w:tcPr>
            <w:tcW w:type="dxa" w:w="2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Коли застосовується</w:t>
            </w:r>
          </w:p>
        </w:tc>
        <w:tc>
          <w:tcPr>
            <w:tcW w:type="dxa" w:w="28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Головне обмеження</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KPI</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Відстеження прогресу, контроль цілей</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Планування + весь ЖЦ проєкту</w:t>
            </w:r>
          </w:p>
        </w:tc>
        <w:tc>
          <w:tcPr>
            <w:tcW w:type="dxa" w:w="2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Ризик «гри у показники» — оптимізація KPI без реального ефекту</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BSC</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Зв'язок стратегії з вимірними результатами за 4 перспективами</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Планування і стратегічна оцінка</w:t>
            </w:r>
          </w:p>
        </w:tc>
        <w:tc>
          <w:tcPr>
            <w:tcW w:type="dxa" w:w="2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Складність побудови коректних причинно-наслідкових зв'язків</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SMART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Перевірка якості постановки цілей і параметрів</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Ініціація і планування</w:t>
            </w:r>
          </w:p>
        </w:tc>
        <w:tc>
          <w:tcPr>
            <w:tcW w:type="dxa" w:w="2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Не є системою вимірювання — лише перевірочний стандарт</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Бенчмаркінг</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Оцінка відносної ефективності (vs. ринок, конкуренти)</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Ініціація і постпроєктна оцінка</w:t>
            </w:r>
          </w:p>
        </w:tc>
        <w:tc>
          <w:tcPr>
            <w:tcW w:type="dxa" w:w="2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Важко знайти порівнянні дані; галузі різняться</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Сценарне моделювання</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Оцінка ризиків і стійкості проєкту за різних умов</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Планування і аналіз доцільності</w:t>
            </w:r>
          </w:p>
        </w:tc>
        <w:tc>
          <w:tcPr>
            <w:tcW w:type="dxa" w:w="2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Якість залежить від якості вхідних припущень і даних</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PMBoK 7th ed. (PMI, 2021); Kaplan &amp; Norton (1992, 1996).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5.3</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П'ять методів оцінки: KPI (контроль прогресу), BSC (стратегічна збалансованість), SMART (якість постановки цілей), бенчмаркінг (відносна ефективність), сценарне моделювання (стійкість за різних умов).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BSC — використовується більш ніж половиною великих компаній у США, Європі та Азії; визнано HBR одним із найвпливовіших управлінських концептів 75 років.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Сучасний тренд: Agile BSC + AI-аналітика для щоденного відстеження KPI та автоматичного виявлення відхилень.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Жоден метод не є самодостатнім: ефективна система вимірювання поєднує всі п'ять на різних фазах ЖЦ проєкту.</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Питання для обговорення та практичні завдання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1. «Ви не можете управляти тим, що не вимірюєте» (Пітер Друкер). Наведіть конкретний приклад реального або гіпотетичного проєкту, де відсутність кількісних параметрів призвела або могла б призвести до управлінської помилки. Як слід було організувати систему вимірювання?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2. Компанія A вимірює ефективність проєкту цифрової трансформації виключно за ROI: 18% за рік. Компанія B вимірює той самий тип проєкту за BSC: фінансові (ROI 18%), клієнтські (NPS +12 п.), операційні (автоматизація 60%), розвиток (кваліфікація персоналу +25%). Чия система вимірювання краща і чому?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3. Практичне завдання (розрахункове): проєкт автоматизації виробничої лінії потребує інвестицій 8 млн грн. Очікувані грошові потоки: рік 1 — 2,0 млн; рік 2 — 2,8 млн; рік 3 — 3,2 млн; рік 4 — 2,5 млн. Ставка дисконту — 14%. Розрахуйте ROI, NPV, Payback Period. Чи є проєкт ефективним?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4. Побудуйте сценарний аналіз для проєкту виходу на новий регіональний ринок. Визначте ключові змінні (ціна, попит, витрати), три сценарії та відповідні значення ROI і NPV для кожного. Яке рішення прийняли б ви як керівник проєкту?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5. DTEK взяв зобов'язання повністю вийти з вугільної генерації до 2035 року і є членом Powering Past Coal Alliance. Які ESG-параметри ви включили б у систему вимірювання ефективності цього стратегічного проєкту? Побудуйте міні-BSC для нього за 4 перспективами.</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Загальний підсумок Лекції 5</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цій лекції ми сформували системне розуміння кількісного вимірювання як управлінського інструменту і освоїли практичні методи його застосування у проєктах розвитку.</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Роль вимірювання (5.1): організації з формальними KPI досягають цілей у 73% vs 58% без них. Вимірювання — не бюрократія, а умова управлінського контролю.</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6 груп параметрів (5.2): фінансові (ROI, NPV, IRR) → стратегічні (ринкова частка, нові клієнти) → операційні (продуктивність, витрати) → якість і ефективність (NPS, дефектність) → інноваційні та цифрові → ESG (E, S, G). Повноцінна система охоплює всі шість.</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ESG як новий стандарт (5.2): CSRD Директива ЄС, ESG Maturity Index 46,8% для українських банків, зобов'язання DTEK і MHP — ESG більше не опціональний, а обов'язковий вимір для компаній, що прагнуть до ринків ЄС або міжнародного капіталу.</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5 методів оцінки (5.3): KPI (операційний контроль), BSC (стратегічна збалансованість, 50%+ великих компаній світу), SMART (якість постановки цілей), бенчмаркінг (відносна ефективність), сценарне моделювання (стійкість за умов невизначеності).</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Ключові поняття: ROI, NPV, IRR, Payback Period, WACC, ринкова частка, NPS, MTBF, MTTR, time-to-market, ESG, CSRD, Balanced Scorecard (BSC), KPI, SMART-критерії, бенчмаркінг, сценарне моделювання, метод Монте-Карло, Agile BSC.</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 наступній лекції (Лекція 6) ми розглянемо практичні кроки зі створення та реалізації проєктів розвитку: від формування команди до управління стейкхолдерами та комунікаціями.</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Рекомендована література до Лекції 5</w:t>
      </w:r>
    </w:p>
    <w:p>
      <w:pPr>
        <w:spacing w:after="120" w:before="240" w:line="360"/>
        <w:ind/>
        <w:jc w:val="both"/>
      </w:pPr>
      <w:r>
        <w:rPr>
          <w:rFonts w:ascii="Times New Roman" w:cs="Times New Roman" w:eastAsia="Times New Roman" w:hAnsi="Times New Roman"/>
          <w:b/>
          <w:bCs/>
          <w:i w:val="false"/>
          <w:iCs w:val="false"/>
          <w:sz w:val="28"/>
          <w:szCs w:val="28"/>
        </w:rPr>
        <w:t xml:space="preserve">Основна:</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 Project Management Institute. A Guide to the Project Management Body of Knowledge (PMBoK Guide). 7th ed. — Newtown Square: PMI, 2021.</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2. Kaplan R.S., Norton D.P. The Balanced Scorecard: Translating Strategy into Action. — Boston: Harvard Business School Press, 1996. — 322 p.</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3. PMI. Pulse of the Profession 2025. — Newtown Square: PMI, 2025.</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4. Шапошнікова І.О. Обґрунтування проєктів розвитку компанії: тренінг-курс. — К.: КНУБА, 2026.</w:t>
      </w:r>
    </w:p>
    <w:p>
      <w:pPr>
        <w:spacing w:after="120" w:before="240" w:line="360"/>
        <w:ind/>
        <w:jc w:val="both"/>
      </w:pPr>
      <w:r>
        <w:rPr>
          <w:rFonts w:ascii="Times New Roman" w:cs="Times New Roman" w:eastAsia="Times New Roman" w:hAnsi="Times New Roman"/>
          <w:b/>
          <w:bCs/>
          <w:i w:val="false"/>
          <w:iCs w:val="false"/>
          <w:sz w:val="28"/>
          <w:szCs w:val="28"/>
        </w:rPr>
        <w:t xml:space="preserve">Додаткова:</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5. Balanced Scorecard Institute. BSC Basics Overview. — URL: https://balancedscorecard.org/bsc-basics-overview/ (дата звернення: 05.05.2026).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6. MDPI. Balanced Scorecard: History, Implementation, and Impact. — 2025. — URL: https://www.mdpi.com/2673-8392/5/1/39 (дата звернення: 05.05.2026).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7. ResearchGate. ESG Practices Maturity in Ukraine's Largest Banks. — 2025. — URL: https://www.researchgate.net (дата звернення: 05.05.2026).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8. KSE. ESG in Ukraine: Is Everyone Faking It? — Kyiv School of Economics, 2025.</w:t>
      </w:r>
    </w:p>
    <w:p>
      <w:pPr>
        <w:spacing w:after="120" w:before="240" w:line="360"/>
        <w:ind/>
        <w:jc w:val="both"/>
      </w:pPr>
      <w:r>
        <w:rPr>
          <w:rFonts w:ascii="Times New Roman" w:cs="Times New Roman" w:eastAsia="Times New Roman" w:hAnsi="Times New Roman"/>
          <w:b/>
          <w:bCs/>
          <w:i w:val="false"/>
          <w:iCs w:val="false"/>
          <w:sz w:val="28"/>
          <w:szCs w:val="28"/>
        </w:rPr>
        <w:t xml:space="preserve">Корпоративні звіти:</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9. DTEK. Sustainability in Action 2024. — URL: https://dtek.com (дата звернення: 05.05.2026).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10. MHP. Integrated Group Annual Report and Accounts 2024. — URL: https://mhp.com.ua (дата звернення: 05.05.2026).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11. Kernel. Annual Report 2024. — URL: https://kernel.ua (дата звернення: 05.05.2026).</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120" w:line="360"/>
      <w:ind/>
      <w:jc w:val="center"/>
    </w:pPr>
    <w:r>
      <w:rPr>
        <w:rFonts w:ascii="Times New Roman" w:cs="Times New Roman" w:eastAsia="Times New Roman" w:hAnsi="Times New Roman"/>
        <w:b w:val="false"/>
        <w:bCs w:val="false"/>
        <w:i w:val="false"/>
        <w:iCs w:val="false"/>
        <w:sz w:val="28"/>
        <w:szCs w:val="2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2026-05-07T15:33:11.448Z</dcterms:created>
  <dcterms:modified xsi:type="dcterms:W3CDTF">2026-05-07T15:33:11.464Z</dcterms:modified>
</cp:coreProperties>
</file>

<file path=docProps/custom.xml><?xml version="1.0" encoding="utf-8"?>
<Properties xmlns="http://schemas.openxmlformats.org/officeDocument/2006/custom-properties" xmlns:vt="http://schemas.openxmlformats.org/officeDocument/2006/docPropsVTypes"/>
</file>