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411BF53D" w:rsidR="002D68C6" w:rsidRDefault="00260CFD" w:rsidP="00E857E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77777777" w:rsidR="00C84EDD" w:rsidRDefault="00C84EDD" w:rsidP="00C84EDD">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3.1 Conceptual Framework</w:t>
      </w:r>
      <w:bookmarkStart w:id="0" w:name="_GoBack"/>
      <w:bookmarkEnd w:id="0"/>
    </w:p>
    <w:p w14:paraId="66F828CD" w14:textId="77777777" w:rsidR="00C84EDD" w:rsidRDefault="00C84EDD" w:rsidP="00C84EDD">
      <w:pPr>
        <w:suppressAutoHyphens/>
        <w:autoSpaceDE w:val="0"/>
        <w:autoSpaceDN w:val="0"/>
        <w:adjustRightInd w:val="0"/>
        <w:spacing w:after="0" w:line="480" w:lineRule="auto"/>
        <w:textAlignment w:val="center"/>
        <w:rPr>
          <w:rFonts w:ascii="Century Gothic" w:hAnsi="Century Gothic"/>
          <w:b/>
          <w:sz w:val="24"/>
        </w:rPr>
      </w:pPr>
      <w:r w:rsidRPr="00712045">
        <w:rPr>
          <w:rFonts w:ascii="Century Gothic" w:hAnsi="Century Gothic"/>
          <w:b/>
          <w:noProof/>
          <w:sz w:val="24"/>
          <w:lang w:eastAsia="en-PH"/>
        </w:rPr>
        <w:drawing>
          <wp:inline distT="0" distB="0" distL="0" distR="0" wp14:anchorId="76FD80F1" wp14:editId="76489AE7">
            <wp:extent cx="5952109" cy="2589581"/>
            <wp:effectExtent l="0" t="0" r="0" b="0"/>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5"/>
                    <a:stretch>
                      <a:fillRect/>
                    </a:stretch>
                  </pic:blipFill>
                  <pic:spPr>
                    <a:xfrm>
                      <a:off x="0" y="0"/>
                      <a:ext cx="5968384" cy="2596662"/>
                    </a:xfrm>
                    <a:prstGeom prst="rect">
                      <a:avLst/>
                    </a:prstGeom>
                  </pic:spPr>
                </pic:pic>
              </a:graphicData>
            </a:graphic>
          </wp:inline>
        </w:drawing>
      </w:r>
    </w:p>
    <w:p w14:paraId="59422ACB" w14:textId="77777777" w:rsidR="00C84EDD" w:rsidRDefault="00C84EDD" w:rsidP="00C84EDD">
      <w:pPr>
        <w:suppressAutoHyphens/>
        <w:autoSpaceDE w:val="0"/>
        <w:autoSpaceDN w:val="0"/>
        <w:adjustRightInd w:val="0"/>
        <w:spacing w:after="0" w:line="480" w:lineRule="auto"/>
        <w:jc w:val="center"/>
        <w:textAlignment w:val="center"/>
        <w:rPr>
          <w:rFonts w:ascii="Century Gothic" w:hAnsi="Century Gothic"/>
        </w:rPr>
      </w:pPr>
      <w:r>
        <w:rPr>
          <w:rFonts w:ascii="Century Gothic" w:hAnsi="Century Gothic"/>
          <w:b/>
        </w:rPr>
        <w:t xml:space="preserve">Figure 2. </w:t>
      </w:r>
      <w:proofErr w:type="spellStart"/>
      <w:r w:rsidRPr="00720F30">
        <w:rPr>
          <w:rFonts w:ascii="Century Gothic" w:hAnsi="Century Gothic"/>
        </w:rPr>
        <w:t>ReCOP-ComEx</w:t>
      </w:r>
      <w:proofErr w:type="spellEnd"/>
      <w:r w:rsidRPr="00720F30">
        <w:rPr>
          <w:rFonts w:ascii="Century Gothic" w:hAnsi="Century Gothic"/>
        </w:rPr>
        <w:t xml:space="preserve"> Conceptual Framework</w:t>
      </w:r>
    </w:p>
    <w:p w14:paraId="5A70A448" w14:textId="77777777" w:rsidR="00C84EDD" w:rsidRPr="00720F30" w:rsidRDefault="00C84EDD" w:rsidP="00C84EDD">
      <w:pPr>
        <w:suppressAutoHyphens/>
        <w:autoSpaceDE w:val="0"/>
        <w:autoSpaceDN w:val="0"/>
        <w:adjustRightInd w:val="0"/>
        <w:spacing w:after="0" w:line="480" w:lineRule="auto"/>
        <w:jc w:val="center"/>
        <w:textAlignment w:val="center"/>
        <w:rPr>
          <w:rFonts w:ascii="Century Gothic" w:hAnsi="Century Gothic"/>
        </w:rPr>
      </w:pPr>
    </w:p>
    <w:p w14:paraId="2E5B45A2" w14:textId="77777777" w:rsidR="00C84EDD" w:rsidRDefault="00C84EDD" w:rsidP="00C84EDD">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3.2 Project Budget</w:t>
      </w:r>
    </w:p>
    <w:p w14:paraId="7E8B2BC5" w14:textId="77777777" w:rsidR="00C84EDD" w:rsidRDefault="00C84EDD" w:rsidP="00C84EDD">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C84EDD">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C84EDD">
      <w:pPr>
        <w:suppressAutoHyphens/>
        <w:autoSpaceDE w:val="0"/>
        <w:autoSpaceDN w:val="0"/>
        <w:adjustRightInd w:val="0"/>
        <w:spacing w:after="0" w:line="480" w:lineRule="auto"/>
        <w:jc w:val="center"/>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r>
      <w:tr w:rsidR="00C84EDD" w:rsidRPr="00FB72EB" w14:paraId="2842C513" w14:textId="77777777" w:rsidTr="00575D42">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575D42">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r>
      <w:tr w:rsidR="00C84EDD" w:rsidRPr="00FB72EB" w14:paraId="4E2B575C"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r>
      <w:tr w:rsidR="00C84EDD" w:rsidRPr="00FB72EB" w14:paraId="33BF5F71" w14:textId="77777777" w:rsidTr="00575D42">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575D42">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r>
      <w:tr w:rsidR="00C84EDD" w:rsidRPr="00FB72EB" w14:paraId="0AE09569"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575D42">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575D42">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575D42">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p w14:paraId="4CA6D1C6" w14:textId="77777777" w:rsidR="00C84EDD" w:rsidRDefault="00C84EDD" w:rsidP="00C84EDD"/>
    <w:p w14:paraId="36CA7BC3" w14:textId="77777777" w:rsidR="00C84EDD" w:rsidRPr="00720F30" w:rsidRDefault="00C84EDD" w:rsidP="00C84EDD">
      <w:pPr>
        <w:jc w:val="center"/>
        <w:rPr>
          <w:rFonts w:ascii="Century Gothic" w:hAnsi="Century Gothic"/>
          <w:b/>
        </w:rPr>
      </w:pPr>
      <w:r w:rsidRPr="00720F30">
        <w:rPr>
          <w:rFonts w:ascii="Century Gothic" w:hAnsi="Century Gothic"/>
          <w:b/>
        </w:rPr>
        <w:lastRenderedPageBreak/>
        <w:t>Table 5</w:t>
      </w:r>
      <w:r w:rsidRPr="00720F30">
        <w:rPr>
          <w:rFonts w:ascii="Century Gothic" w:hAnsi="Century Gothic"/>
        </w:rPr>
        <w:t xml:space="preserve"> (continued)</w:t>
      </w:r>
    </w:p>
    <w:tbl>
      <w:tblPr>
        <w:tblpPr w:leftFromText="180" w:rightFromText="180" w:vertAnchor="text" w:horzAnchor="margin" w:tblpY="-30"/>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39E63E3B"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10FAB1B9"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7C80BD6D"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1EFF9C7"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1E4E38D0" w14:textId="77777777" w:rsidR="00C84EDD" w:rsidRPr="00FB72EB" w:rsidRDefault="00C84EDD" w:rsidP="00575D42">
            <w:pPr>
              <w:spacing w:after="0" w:line="240" w:lineRule="auto"/>
              <w:rPr>
                <w:rFonts w:ascii="Century Gothic" w:eastAsia="Times New Roman" w:hAnsi="Century Gothic" w:cs="Calibri"/>
                <w:b/>
                <w:bCs/>
                <w:color w:val="000000"/>
                <w:sz w:val="24"/>
                <w:szCs w:val="24"/>
                <w:lang w:eastAsia="en-PH"/>
              </w:rPr>
            </w:pPr>
          </w:p>
        </w:tc>
      </w:tr>
      <w:tr w:rsidR="00C84EDD" w:rsidRPr="00FB72EB" w14:paraId="297FBC88" w14:textId="77777777" w:rsidTr="00575D42">
        <w:trPr>
          <w:trHeight w:val="313"/>
        </w:trPr>
        <w:tc>
          <w:tcPr>
            <w:tcW w:w="222" w:type="dxa"/>
            <w:tcBorders>
              <w:top w:val="nil"/>
              <w:left w:val="nil"/>
              <w:bottom w:val="nil"/>
              <w:right w:val="nil"/>
            </w:tcBorders>
            <w:shd w:val="clear" w:color="auto" w:fill="auto"/>
            <w:noWrap/>
            <w:vAlign w:val="bottom"/>
            <w:hideMark/>
          </w:tcPr>
          <w:p w14:paraId="50EE3FE3"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5F15DB3A"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4883242"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7FD0749"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10D5848"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1800970E" w14:textId="77777777" w:rsidR="00C84EDD" w:rsidRPr="00FB72EB" w:rsidRDefault="00C84EDD" w:rsidP="00575D42">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9AF9FD8"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1193FE4F"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758FD232"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r>
      <w:tr w:rsidR="00C84EDD" w:rsidRPr="00FB72EB" w14:paraId="05350855" w14:textId="77777777" w:rsidTr="00575D42">
        <w:trPr>
          <w:trHeight w:val="313"/>
        </w:trPr>
        <w:tc>
          <w:tcPr>
            <w:tcW w:w="2712" w:type="dxa"/>
            <w:gridSpan w:val="3"/>
            <w:tcBorders>
              <w:top w:val="nil"/>
              <w:left w:val="nil"/>
              <w:bottom w:val="nil"/>
              <w:right w:val="nil"/>
            </w:tcBorders>
            <w:shd w:val="clear" w:color="auto" w:fill="auto"/>
            <w:noWrap/>
            <w:vAlign w:val="bottom"/>
            <w:hideMark/>
          </w:tcPr>
          <w:p w14:paraId="24706455"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06C5C9D4"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6CDC7F4A"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620C1957"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C84EDD" w:rsidRPr="00FB72EB" w14:paraId="43EEF075" w14:textId="77777777" w:rsidTr="00575D42">
        <w:trPr>
          <w:trHeight w:val="313"/>
        </w:trPr>
        <w:tc>
          <w:tcPr>
            <w:tcW w:w="222" w:type="dxa"/>
            <w:tcBorders>
              <w:top w:val="nil"/>
              <w:left w:val="nil"/>
              <w:bottom w:val="nil"/>
              <w:right w:val="nil"/>
            </w:tcBorders>
            <w:shd w:val="clear" w:color="auto" w:fill="auto"/>
            <w:noWrap/>
            <w:vAlign w:val="bottom"/>
            <w:hideMark/>
          </w:tcPr>
          <w:p w14:paraId="5E8D63AB"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1357933"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B7790D1"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24FB5BFF"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A0516B5" w14:textId="77777777" w:rsidR="00C84EDD" w:rsidRPr="00FB72EB" w:rsidRDefault="00C84EDD" w:rsidP="00575D42">
            <w:pPr>
              <w:spacing w:after="0" w:line="240" w:lineRule="auto"/>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0450C20"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C84EDD" w:rsidRPr="00FB72EB" w14:paraId="699B8F7E" w14:textId="77777777" w:rsidTr="00575D42">
        <w:trPr>
          <w:trHeight w:val="313"/>
        </w:trPr>
        <w:tc>
          <w:tcPr>
            <w:tcW w:w="222" w:type="dxa"/>
            <w:tcBorders>
              <w:top w:val="nil"/>
              <w:left w:val="nil"/>
              <w:bottom w:val="nil"/>
              <w:right w:val="nil"/>
            </w:tcBorders>
            <w:shd w:val="clear" w:color="auto" w:fill="auto"/>
            <w:noWrap/>
            <w:vAlign w:val="bottom"/>
            <w:hideMark/>
          </w:tcPr>
          <w:p w14:paraId="408B8142"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2EAA921"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F671CE6"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71CC6916"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49E86069"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72C779E1"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C84EDD" w:rsidRPr="00FB72EB" w14:paraId="5AACDCB5" w14:textId="77777777" w:rsidTr="00575D42">
        <w:trPr>
          <w:trHeight w:val="313"/>
        </w:trPr>
        <w:tc>
          <w:tcPr>
            <w:tcW w:w="222" w:type="dxa"/>
            <w:tcBorders>
              <w:top w:val="nil"/>
              <w:left w:val="nil"/>
              <w:bottom w:val="nil"/>
              <w:right w:val="nil"/>
            </w:tcBorders>
            <w:shd w:val="clear" w:color="auto" w:fill="auto"/>
            <w:noWrap/>
            <w:vAlign w:val="bottom"/>
            <w:hideMark/>
          </w:tcPr>
          <w:p w14:paraId="0FDCBE33"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27973CF"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85C9867"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34F76D9"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A8F04A1"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7BB144E4"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C84EDD" w:rsidRPr="00FB72EB" w14:paraId="580C0072" w14:textId="77777777" w:rsidTr="00575D42">
        <w:trPr>
          <w:trHeight w:val="313"/>
        </w:trPr>
        <w:tc>
          <w:tcPr>
            <w:tcW w:w="222" w:type="dxa"/>
            <w:tcBorders>
              <w:top w:val="nil"/>
              <w:left w:val="nil"/>
              <w:bottom w:val="nil"/>
              <w:right w:val="nil"/>
            </w:tcBorders>
            <w:shd w:val="clear" w:color="auto" w:fill="auto"/>
            <w:noWrap/>
            <w:vAlign w:val="bottom"/>
            <w:hideMark/>
          </w:tcPr>
          <w:p w14:paraId="349BEB97"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CA9BF8B"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77262078"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CB887CB"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E3E3550"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53900B3D"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C84EDD" w:rsidRPr="00FB72EB" w14:paraId="1DEF0E1F" w14:textId="77777777" w:rsidTr="00575D42">
        <w:trPr>
          <w:trHeight w:val="313"/>
        </w:trPr>
        <w:tc>
          <w:tcPr>
            <w:tcW w:w="222" w:type="dxa"/>
            <w:tcBorders>
              <w:top w:val="nil"/>
              <w:left w:val="nil"/>
              <w:bottom w:val="nil"/>
              <w:right w:val="nil"/>
            </w:tcBorders>
            <w:shd w:val="clear" w:color="auto" w:fill="auto"/>
            <w:noWrap/>
            <w:vAlign w:val="bottom"/>
            <w:hideMark/>
          </w:tcPr>
          <w:p w14:paraId="5F79F4B9" w14:textId="77777777" w:rsidR="00C84EDD" w:rsidRPr="00FB72EB" w:rsidRDefault="00C84EDD" w:rsidP="00575D42">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4AE38D8"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AC795EE"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5CF8EAC"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6A133B4" w14:textId="77777777" w:rsidR="00C84EDD" w:rsidRPr="00FB72EB" w:rsidRDefault="00C84EDD" w:rsidP="00575D42">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1149445B" w14:textId="77777777" w:rsidR="00C84EDD" w:rsidRPr="00FB72EB" w:rsidRDefault="00C84EDD" w:rsidP="00575D42">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2D000DE" w14:textId="77777777" w:rsidR="00C84EDD" w:rsidRPr="00FB72EB" w:rsidRDefault="00C84EDD" w:rsidP="00575D42">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0BE2C20"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AF9B8B" w14:textId="77777777" w:rsidR="00C84EDD" w:rsidRPr="00FB72EB" w:rsidRDefault="00C84EDD" w:rsidP="00575D42">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1EA5B10F" w14:textId="77777777" w:rsidR="00E51CDF" w:rsidRPr="00A85529" w:rsidRDefault="00E51CDF" w:rsidP="00646E09">
      <w:pPr>
        <w:suppressAutoHyphens/>
        <w:autoSpaceDE w:val="0"/>
        <w:autoSpaceDN w:val="0"/>
        <w:adjustRightInd w:val="0"/>
        <w:spacing w:after="0" w:line="480" w:lineRule="auto"/>
        <w:jc w:val="both"/>
        <w:textAlignment w:val="center"/>
        <w:rPr>
          <w:rFonts w:ascii="Century Gothic" w:hAnsi="Century Gothic"/>
        </w:rPr>
      </w:pPr>
    </w:p>
    <w:p w14:paraId="0CE0B68E" w14:textId="77777777" w:rsidR="002E2E8D" w:rsidRDefault="002E2E8D" w:rsidP="00E857E8">
      <w:pPr>
        <w:suppressAutoHyphens/>
        <w:autoSpaceDE w:val="0"/>
        <w:autoSpaceDN w:val="0"/>
        <w:adjustRightInd w:val="0"/>
        <w:spacing w:after="0" w:line="480" w:lineRule="auto"/>
        <w:textAlignment w:val="center"/>
        <w:rPr>
          <w:rFonts w:ascii="Century Gothic" w:hAnsi="Century Gothic"/>
          <w:b/>
          <w:sz w:val="24"/>
        </w:rPr>
      </w:pPr>
    </w:p>
    <w:p w14:paraId="32F5B010" w14:textId="663A89DC"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3.3 Budget Narrative</w:t>
      </w:r>
    </w:p>
    <w:p w14:paraId="757DA8B3" w14:textId="5BB41680" w:rsidR="00803921" w:rsidRDefault="00803921" w:rsidP="0080392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p>
    <w:p w14:paraId="2AF0AF53" w14:textId="77777777" w:rsidR="005B132B" w:rsidRDefault="00803921" w:rsidP="005B132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53D9D80B" w14:textId="0DE74C8E" w:rsidR="005B132B" w:rsidRDefault="005B132B" w:rsidP="005B132B">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075E4E95" w:rsidR="005B132B" w:rsidRPr="005B132B" w:rsidRDefault="005B132B" w:rsidP="005B132B">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5CC0F99C" w14:textId="7234B5CD" w:rsidR="008B5AC2" w:rsidRDefault="008B5AC2" w:rsidP="00803921">
      <w:pPr>
        <w:suppressAutoHyphens/>
        <w:autoSpaceDE w:val="0"/>
        <w:autoSpaceDN w:val="0"/>
        <w:adjustRightInd w:val="0"/>
        <w:spacing w:after="0" w:line="480" w:lineRule="auto"/>
        <w:jc w:val="both"/>
        <w:textAlignment w:val="center"/>
        <w:rPr>
          <w:rFonts w:ascii="Century Gothic" w:hAnsi="Century Gothic"/>
        </w:rPr>
      </w:pPr>
    </w:p>
    <w:p w14:paraId="7A498535" w14:textId="77777777" w:rsidR="00520FDA" w:rsidRPr="00803921" w:rsidRDefault="00520FDA" w:rsidP="00803921">
      <w:pPr>
        <w:suppressAutoHyphens/>
        <w:autoSpaceDE w:val="0"/>
        <w:autoSpaceDN w:val="0"/>
        <w:adjustRightInd w:val="0"/>
        <w:spacing w:after="0" w:line="480" w:lineRule="auto"/>
        <w:jc w:val="both"/>
        <w:textAlignment w:val="center"/>
        <w:rPr>
          <w:rFonts w:ascii="Century Gothic" w:hAnsi="Century Gothic"/>
        </w:rPr>
      </w:pPr>
    </w:p>
    <w:p w14:paraId="16701DF9" w14:textId="7BE3B201"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lastRenderedPageBreak/>
        <w:t>3.4 Budget Feasibility</w:t>
      </w:r>
    </w:p>
    <w:p w14:paraId="26181BA9" w14:textId="23C81AA3" w:rsidR="00346C25" w:rsidRDefault="00520FDA" w:rsidP="002E2E8D">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4EB2A9C5" w14:textId="562C538C" w:rsidR="002E2E8D" w:rsidRDefault="002E2E8D" w:rsidP="002E2E8D">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64EA0B3D" w14:textId="0C479C74" w:rsidR="004E7EA4" w:rsidRPr="002E7A62" w:rsidRDefault="004E7EA4" w:rsidP="004E7EA4">
      <w:pPr>
        <w:suppressAutoHyphens/>
        <w:autoSpaceDE w:val="0"/>
        <w:autoSpaceDN w:val="0"/>
        <w:adjustRightInd w:val="0"/>
        <w:spacing w:after="0" w:line="480" w:lineRule="auto"/>
        <w:ind w:firstLine="720"/>
        <w:jc w:val="both"/>
        <w:textAlignment w:val="center"/>
        <w:rPr>
          <w:rFonts w:ascii="Century Gothic" w:eastAsia="Times New Roman" w:hAnsi="Century Gothic" w:cs="Arial"/>
          <w:b/>
          <w:bCs/>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736B7A78" w14:textId="60201C23" w:rsidR="004E7EA4" w:rsidRDefault="00A47923"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r>
        <w:rPr>
          <w:rFonts w:ascii="Century Gothic" w:eastAsia="Times New Roman" w:hAnsi="Century Gothic" w:cs="Arial"/>
          <w:bCs/>
        </w:rPr>
        <w:tab/>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1B30586D" w14:textId="77777777" w:rsidR="0030761A" w:rsidRDefault="0030761A"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150E6011" w14:textId="77777777" w:rsidR="009C6586" w:rsidRDefault="009C6586"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6388220C" w14:textId="77777777" w:rsidR="009C6586" w:rsidRDefault="009C6586"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660D0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lastRenderedPageBreak/>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71567AF7" w:rsidR="00BE6BAF" w:rsidRDefault="00C36B64"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C36B64">
        <w:rPr>
          <w:noProof/>
          <w:lang w:eastAsia="en-PH"/>
        </w:rPr>
        <w:drawing>
          <wp:inline distT="0" distB="0" distL="0" distR="0" wp14:anchorId="50074B2F" wp14:editId="082AB6D0">
            <wp:extent cx="5486400" cy="29860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1AD4CCEA" w:rsidR="00660D0F" w:rsidRDefault="00660D0F" w:rsidP="004E7EA4">
      <w:pPr>
        <w:suppressAutoHyphens/>
        <w:autoSpaceDE w:val="0"/>
        <w:autoSpaceDN w:val="0"/>
        <w:adjustRightInd w:val="0"/>
        <w:spacing w:after="0" w:line="480" w:lineRule="auto"/>
        <w:jc w:val="both"/>
        <w:textAlignment w:val="center"/>
        <w:rPr>
          <w:rFonts w:ascii="Century Gothic" w:hAnsi="Century Gothic"/>
        </w:rPr>
      </w:pPr>
      <w:r w:rsidRPr="00660D0F">
        <w:rPr>
          <w:rFonts w:ascii="Century Gothic" w:hAnsi="Century Gothic"/>
        </w:rPr>
        <w:tab/>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FB2F48">
        <w:rPr>
          <w:rFonts w:ascii="Century Gothic" w:hAnsi="Century Gothic"/>
        </w:rPr>
        <w:t>Return of Investment (ROI) of 18</w:t>
      </w:r>
      <w:r w:rsidR="00C36B64">
        <w:rPr>
          <w:rFonts w:ascii="Century Gothic" w:hAnsi="Century Gothic"/>
        </w:rPr>
        <w:t>1</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4E7EA4">
      <w:pPr>
        <w:suppressAutoHyphens/>
        <w:autoSpaceDE w:val="0"/>
        <w:autoSpaceDN w:val="0"/>
        <w:adjustRightInd w:val="0"/>
        <w:spacing w:after="0" w:line="480" w:lineRule="auto"/>
        <w:jc w:val="both"/>
        <w:textAlignment w:val="center"/>
        <w:rPr>
          <w:rFonts w:ascii="Century Gothic" w:hAnsi="Century Gothic"/>
        </w:rPr>
      </w:pPr>
    </w:p>
    <w:p w14:paraId="55634CD0" w14:textId="614ED96B" w:rsidR="00C84EDD" w:rsidRDefault="00260CFD" w:rsidP="00C84EDD">
      <w:pPr>
        <w:suppressAutoHyphens/>
        <w:autoSpaceDE w:val="0"/>
        <w:autoSpaceDN w:val="0"/>
        <w:adjustRightInd w:val="0"/>
        <w:spacing w:after="0" w:line="480" w:lineRule="auto"/>
        <w:jc w:val="both"/>
        <w:textAlignment w:val="center"/>
        <w:rPr>
          <w:rFonts w:ascii="Century Gothic" w:hAnsi="Century Gothic"/>
          <w:b/>
          <w:sz w:val="24"/>
        </w:rPr>
      </w:pPr>
      <w:r w:rsidRPr="00660D0F">
        <w:rPr>
          <w:rFonts w:ascii="Century Gothic" w:hAnsi="Century Gothic"/>
          <w:b/>
          <w:sz w:val="24"/>
        </w:rPr>
        <w:t>3.5 Risk Management Plan</w:t>
      </w:r>
    </w:p>
    <w:p w14:paraId="5D86ADD7" w14:textId="4966263C" w:rsidR="00C84EDD" w:rsidRPr="00B06D35" w:rsidRDefault="00C84EDD" w:rsidP="00C84EDD">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C84EDD">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C84EDD">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 xml:space="preserve">ashboard. </w:t>
      </w:r>
      <w:r w:rsidRPr="00B06D35">
        <w:rPr>
          <w:rFonts w:ascii="Century Gothic" w:hAnsi="Century Gothic"/>
        </w:rPr>
        <w:lastRenderedPageBreak/>
        <w:t>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C84EDD">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C84EDD">
      <w:pPr>
        <w:spacing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74E9A2B3" w14:textId="7AA862E6" w:rsidR="00C84EDD" w:rsidRPr="00630904" w:rsidRDefault="00C84EDD" w:rsidP="00C84EDD">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90"/>
        <w:gridCol w:w="1655"/>
        <w:gridCol w:w="1350"/>
        <w:gridCol w:w="1080"/>
        <w:gridCol w:w="2250"/>
        <w:gridCol w:w="2070"/>
      </w:tblGrid>
      <w:tr w:rsidR="00237E7E" w:rsidRPr="00B06D35" w14:paraId="6C1CB2E2" w14:textId="77777777" w:rsidTr="00237E7E">
        <w:tc>
          <w:tcPr>
            <w:tcW w:w="590" w:type="dxa"/>
            <w:vAlign w:val="center"/>
          </w:tcPr>
          <w:p w14:paraId="4213ADC1" w14:textId="77777777" w:rsidR="00237E7E" w:rsidRPr="00B06D35" w:rsidRDefault="00237E7E" w:rsidP="00237E7E">
            <w:pPr>
              <w:jc w:val="center"/>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237E7E">
            <w:pPr>
              <w:jc w:val="center"/>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237E7E">
            <w:pPr>
              <w:jc w:val="center"/>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237E7E">
            <w:pPr>
              <w:jc w:val="center"/>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237E7E">
            <w:pPr>
              <w:jc w:val="center"/>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237E7E">
            <w:pPr>
              <w:jc w:val="center"/>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237E7E">
            <w:pPr>
              <w:jc w:val="center"/>
              <w:rPr>
                <w:rFonts w:ascii="Century Gothic" w:hAnsi="Century Gothic"/>
              </w:rPr>
            </w:pPr>
            <w:r>
              <w:rPr>
                <w:rFonts w:ascii="Century Gothic" w:hAnsi="Century Gothic"/>
              </w:rPr>
              <w:t>1</w:t>
            </w:r>
          </w:p>
        </w:tc>
        <w:tc>
          <w:tcPr>
            <w:tcW w:w="1655" w:type="dxa"/>
            <w:vAlign w:val="center"/>
          </w:tcPr>
          <w:p w14:paraId="5066A5AF" w14:textId="77777777" w:rsidR="00237E7E" w:rsidRPr="00B06D35" w:rsidRDefault="00237E7E" w:rsidP="00237E7E">
            <w:pPr>
              <w:jc w:val="center"/>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237E7E">
            <w:pPr>
              <w:jc w:val="center"/>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237E7E">
            <w:pPr>
              <w:jc w:val="center"/>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237E7E">
            <w:pPr>
              <w:jc w:val="center"/>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237E7E">
            <w:pPr>
              <w:jc w:val="center"/>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237E7E">
            <w:pPr>
              <w:jc w:val="center"/>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237E7E">
            <w:pPr>
              <w:jc w:val="center"/>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237E7E">
            <w:pPr>
              <w:jc w:val="center"/>
              <w:rPr>
                <w:rFonts w:ascii="Century Gothic" w:hAnsi="Century Gothic"/>
              </w:rPr>
            </w:pPr>
          </w:p>
          <w:p w14:paraId="00089B19" w14:textId="77777777" w:rsidR="00237E7E" w:rsidRPr="00B06D35" w:rsidRDefault="00237E7E" w:rsidP="00237E7E">
            <w:pPr>
              <w:jc w:val="center"/>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237E7E">
            <w:pPr>
              <w:jc w:val="center"/>
              <w:rPr>
                <w:rFonts w:ascii="Century Gothic" w:hAnsi="Century Gothic"/>
              </w:rPr>
            </w:pPr>
          </w:p>
          <w:p w14:paraId="692F65FD" w14:textId="77777777" w:rsidR="00237E7E" w:rsidRPr="00B06D35" w:rsidRDefault="00237E7E" w:rsidP="00237E7E">
            <w:pPr>
              <w:jc w:val="center"/>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237E7E">
            <w:pPr>
              <w:jc w:val="center"/>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237E7E">
            <w:pPr>
              <w:jc w:val="center"/>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237E7E">
            <w:pPr>
              <w:jc w:val="center"/>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237E7E">
            <w:pPr>
              <w:jc w:val="center"/>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237E7E">
            <w:pPr>
              <w:jc w:val="center"/>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237E7E">
            <w:pPr>
              <w:jc w:val="center"/>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237E7E">
            <w:pPr>
              <w:jc w:val="center"/>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237E7E">
            <w:pPr>
              <w:jc w:val="center"/>
              <w:rPr>
                <w:rFonts w:ascii="Century Gothic" w:hAnsi="Century Gothic"/>
              </w:rPr>
            </w:pPr>
            <w:r w:rsidRPr="00C10132">
              <w:rPr>
                <w:rFonts w:ascii="Century Gothic" w:hAnsi="Century Gothic"/>
              </w:rPr>
              <w:t>The scope uncontrollably change and grow due to client requests and other factors.</w:t>
            </w:r>
          </w:p>
        </w:tc>
      </w:tr>
    </w:tbl>
    <w:p w14:paraId="3199B43F" w14:textId="77777777" w:rsidR="00CF2733" w:rsidRDefault="00CF2733"/>
    <w:p w14:paraId="21D15B47" w14:textId="77777777" w:rsidR="001E291B" w:rsidRDefault="001E291B"/>
    <w:p w14:paraId="77A76D89" w14:textId="6FE6446B" w:rsidR="001E291B" w:rsidRPr="00237E7E" w:rsidRDefault="00237E7E" w:rsidP="00237E7E">
      <w:pPr>
        <w:jc w:val="center"/>
        <w:rPr>
          <w:rFonts w:ascii="Century Gothic" w:hAnsi="Century Gothic"/>
        </w:rPr>
      </w:pPr>
      <w:r w:rsidRPr="00237E7E">
        <w:rPr>
          <w:rFonts w:ascii="Century Gothic" w:hAnsi="Century Gothic"/>
          <w:b/>
        </w:rPr>
        <w:lastRenderedPageBreak/>
        <w:t xml:space="preserve">Table 7. </w:t>
      </w:r>
      <w:r w:rsidRPr="00237E7E">
        <w:rPr>
          <w:rFonts w:ascii="Century Gothic" w:hAnsi="Century Gothic"/>
        </w:rPr>
        <w:t>(</w:t>
      </w:r>
      <w:proofErr w:type="gramStart"/>
      <w:r w:rsidRPr="00237E7E">
        <w:rPr>
          <w:rFonts w:ascii="Century Gothic" w:hAnsi="Century Gothic"/>
        </w:rPr>
        <w:t>continued</w:t>
      </w:r>
      <w:proofErr w:type="gramEnd"/>
      <w:r w:rsidRPr="00237E7E">
        <w:rPr>
          <w:rFonts w:ascii="Century Gothic" w:hAnsi="Century Gothic"/>
        </w:rPr>
        <w:t>)</w:t>
      </w:r>
    </w:p>
    <w:tbl>
      <w:tblPr>
        <w:tblStyle w:val="TableGrid"/>
        <w:tblpPr w:leftFromText="180" w:rightFromText="180" w:vertAnchor="text" w:horzAnchor="margin" w:tblpY="-24"/>
        <w:tblW w:w="8995" w:type="dxa"/>
        <w:tblLook w:val="04A0" w:firstRow="1" w:lastRow="0" w:firstColumn="1" w:lastColumn="0" w:noHBand="0" w:noVBand="1"/>
      </w:tblPr>
      <w:tblGrid>
        <w:gridCol w:w="590"/>
        <w:gridCol w:w="1655"/>
        <w:gridCol w:w="1350"/>
        <w:gridCol w:w="1096"/>
        <w:gridCol w:w="2234"/>
        <w:gridCol w:w="2070"/>
      </w:tblGrid>
      <w:tr w:rsidR="00237E7E" w:rsidRPr="00C10132" w14:paraId="56D63CBA" w14:textId="77777777" w:rsidTr="00237E7E">
        <w:tc>
          <w:tcPr>
            <w:tcW w:w="590" w:type="dxa"/>
            <w:vAlign w:val="center"/>
          </w:tcPr>
          <w:p w14:paraId="09581716" w14:textId="77777777" w:rsidR="00237E7E" w:rsidRPr="00C10132" w:rsidRDefault="00237E7E" w:rsidP="00237E7E">
            <w:pPr>
              <w:jc w:val="center"/>
              <w:rPr>
                <w:rFonts w:ascii="Century Gothic" w:hAnsi="Century Gothic"/>
              </w:rPr>
            </w:pPr>
          </w:p>
          <w:p w14:paraId="137A5BBF" w14:textId="77777777" w:rsidR="00237E7E" w:rsidRPr="00C10132" w:rsidRDefault="00237E7E" w:rsidP="00237E7E">
            <w:pPr>
              <w:jc w:val="center"/>
              <w:rPr>
                <w:rFonts w:ascii="Century Gothic" w:hAnsi="Century Gothic"/>
              </w:rPr>
            </w:pPr>
          </w:p>
          <w:p w14:paraId="581E5D11" w14:textId="4557F32F" w:rsidR="00237E7E" w:rsidRPr="00C10132" w:rsidRDefault="00237E7E" w:rsidP="00237E7E">
            <w:pPr>
              <w:jc w:val="center"/>
              <w:rPr>
                <w:rFonts w:ascii="Century Gothic" w:hAnsi="Century Gothic"/>
              </w:rPr>
            </w:pPr>
            <w:r>
              <w:rPr>
                <w:rFonts w:ascii="Century Gothic" w:hAnsi="Century Gothic"/>
              </w:rPr>
              <w:t>4</w:t>
            </w:r>
          </w:p>
        </w:tc>
        <w:tc>
          <w:tcPr>
            <w:tcW w:w="1655" w:type="dxa"/>
            <w:vAlign w:val="center"/>
          </w:tcPr>
          <w:p w14:paraId="1FE5353C" w14:textId="77777777" w:rsidR="00237E7E" w:rsidRPr="00C10132" w:rsidRDefault="00237E7E" w:rsidP="00237E7E">
            <w:pPr>
              <w:jc w:val="center"/>
              <w:rPr>
                <w:rFonts w:ascii="Century Gothic" w:hAnsi="Century Gothic"/>
              </w:rPr>
            </w:pPr>
          </w:p>
          <w:p w14:paraId="37381364" w14:textId="77777777" w:rsidR="00237E7E" w:rsidRPr="00C10132" w:rsidRDefault="00237E7E" w:rsidP="00237E7E">
            <w:pPr>
              <w:jc w:val="center"/>
              <w:rPr>
                <w:rFonts w:ascii="Century Gothic" w:hAnsi="Century Gothic"/>
              </w:rPr>
            </w:pPr>
          </w:p>
          <w:p w14:paraId="7D4CBFF0" w14:textId="77777777" w:rsidR="00237E7E" w:rsidRPr="00C10132" w:rsidRDefault="00237E7E" w:rsidP="00237E7E">
            <w:pPr>
              <w:jc w:val="center"/>
              <w:rPr>
                <w:rFonts w:ascii="Century Gothic" w:hAnsi="Century Gothic"/>
              </w:rPr>
            </w:pPr>
            <w:r w:rsidRPr="00C10132">
              <w:rPr>
                <w:rFonts w:ascii="Century Gothic" w:hAnsi="Century Gothic"/>
              </w:rPr>
              <w:t>Resistance due to budget</w:t>
            </w:r>
          </w:p>
        </w:tc>
        <w:tc>
          <w:tcPr>
            <w:tcW w:w="1350" w:type="dxa"/>
            <w:vAlign w:val="center"/>
          </w:tcPr>
          <w:p w14:paraId="046C4783" w14:textId="77777777" w:rsidR="00237E7E" w:rsidRDefault="00237E7E" w:rsidP="00237E7E">
            <w:pPr>
              <w:jc w:val="center"/>
              <w:rPr>
                <w:rFonts w:ascii="Century Gothic" w:hAnsi="Century Gothic"/>
              </w:rPr>
            </w:pPr>
          </w:p>
          <w:p w14:paraId="490020AA" w14:textId="77777777" w:rsidR="00237E7E" w:rsidRDefault="00237E7E" w:rsidP="00237E7E">
            <w:pPr>
              <w:jc w:val="center"/>
              <w:rPr>
                <w:rFonts w:ascii="Century Gothic" w:hAnsi="Century Gothic"/>
              </w:rPr>
            </w:pPr>
          </w:p>
          <w:p w14:paraId="24F1FCD1" w14:textId="77777777" w:rsidR="00237E7E" w:rsidRPr="00C10132" w:rsidRDefault="00237E7E" w:rsidP="00237E7E">
            <w:pPr>
              <w:jc w:val="center"/>
              <w:rPr>
                <w:rFonts w:ascii="Century Gothic" w:hAnsi="Century Gothic"/>
              </w:rPr>
            </w:pPr>
            <w:r w:rsidRPr="00C10132">
              <w:rPr>
                <w:rFonts w:ascii="Century Gothic" w:hAnsi="Century Gothic"/>
              </w:rPr>
              <w:t>Medium to High</w:t>
            </w:r>
          </w:p>
        </w:tc>
        <w:tc>
          <w:tcPr>
            <w:tcW w:w="1096" w:type="dxa"/>
            <w:vAlign w:val="center"/>
          </w:tcPr>
          <w:p w14:paraId="727C9658" w14:textId="77777777" w:rsidR="00237E7E" w:rsidRDefault="00237E7E" w:rsidP="00237E7E">
            <w:pPr>
              <w:jc w:val="center"/>
              <w:rPr>
                <w:rFonts w:ascii="Century Gothic" w:hAnsi="Century Gothic"/>
              </w:rPr>
            </w:pPr>
          </w:p>
          <w:p w14:paraId="30A0A58E" w14:textId="77777777" w:rsidR="00237E7E" w:rsidRDefault="00237E7E" w:rsidP="00237E7E">
            <w:pPr>
              <w:jc w:val="center"/>
              <w:rPr>
                <w:rFonts w:ascii="Century Gothic" w:hAnsi="Century Gothic"/>
              </w:rPr>
            </w:pPr>
          </w:p>
          <w:p w14:paraId="1DFC0E88" w14:textId="77777777" w:rsidR="00237E7E" w:rsidRPr="00C10132" w:rsidRDefault="00237E7E" w:rsidP="00237E7E">
            <w:pPr>
              <w:jc w:val="center"/>
              <w:rPr>
                <w:rFonts w:ascii="Century Gothic" w:hAnsi="Century Gothic"/>
              </w:rPr>
            </w:pPr>
            <w:r w:rsidRPr="00C10132">
              <w:rPr>
                <w:rFonts w:ascii="Century Gothic" w:hAnsi="Century Gothic"/>
              </w:rPr>
              <w:t>Medium</w:t>
            </w:r>
          </w:p>
        </w:tc>
        <w:tc>
          <w:tcPr>
            <w:tcW w:w="2234" w:type="dxa"/>
            <w:vAlign w:val="center"/>
          </w:tcPr>
          <w:p w14:paraId="69FD757F" w14:textId="77777777" w:rsidR="00237E7E" w:rsidRPr="00C10132" w:rsidRDefault="00237E7E" w:rsidP="00237E7E">
            <w:pPr>
              <w:jc w:val="center"/>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3B9178DB" w14:textId="77777777" w:rsidR="00237E7E" w:rsidRPr="00C10132" w:rsidRDefault="00237E7E" w:rsidP="00237E7E">
            <w:pPr>
              <w:jc w:val="center"/>
              <w:rPr>
                <w:rFonts w:ascii="Century Gothic" w:hAnsi="Century Gothic"/>
              </w:rPr>
            </w:pPr>
            <w:r w:rsidRPr="00C10132">
              <w:rPr>
                <w:rFonts w:ascii="Century Gothic" w:hAnsi="Century Gothic"/>
              </w:rPr>
              <w:t>Sponsor has no enough financial capability to support the project further.</w:t>
            </w:r>
          </w:p>
        </w:tc>
      </w:tr>
      <w:tr w:rsidR="00237E7E" w:rsidRPr="00C10132" w14:paraId="23D35391" w14:textId="77777777" w:rsidTr="00237E7E">
        <w:trPr>
          <w:trHeight w:val="2105"/>
        </w:trPr>
        <w:tc>
          <w:tcPr>
            <w:tcW w:w="590" w:type="dxa"/>
            <w:vAlign w:val="center"/>
          </w:tcPr>
          <w:p w14:paraId="73E49D3C" w14:textId="14740DA3" w:rsidR="00237E7E" w:rsidRPr="0066080B" w:rsidRDefault="00237E7E" w:rsidP="00237E7E">
            <w:pPr>
              <w:jc w:val="center"/>
              <w:rPr>
                <w:rFonts w:ascii="Century Gothic" w:hAnsi="Century Gothic"/>
              </w:rPr>
            </w:pPr>
            <w:r>
              <w:rPr>
                <w:rFonts w:ascii="Century Gothic" w:hAnsi="Century Gothic"/>
              </w:rPr>
              <w:t>5</w:t>
            </w:r>
          </w:p>
        </w:tc>
        <w:tc>
          <w:tcPr>
            <w:tcW w:w="1655" w:type="dxa"/>
            <w:vAlign w:val="center"/>
          </w:tcPr>
          <w:p w14:paraId="2470F5B1" w14:textId="77777777" w:rsidR="00237E7E" w:rsidRPr="0066080B" w:rsidRDefault="00237E7E" w:rsidP="00237E7E">
            <w:pPr>
              <w:jc w:val="center"/>
              <w:rPr>
                <w:rFonts w:ascii="Century Gothic" w:hAnsi="Century Gothic"/>
              </w:rPr>
            </w:pPr>
            <w:r w:rsidRPr="0066080B">
              <w:rPr>
                <w:rFonts w:ascii="Century Gothic" w:hAnsi="Century Gothic"/>
              </w:rPr>
              <w:t>Conflict over changes</w:t>
            </w:r>
          </w:p>
        </w:tc>
        <w:tc>
          <w:tcPr>
            <w:tcW w:w="1350" w:type="dxa"/>
            <w:vAlign w:val="center"/>
          </w:tcPr>
          <w:p w14:paraId="1C8E5A8C" w14:textId="77777777" w:rsidR="00237E7E" w:rsidRPr="0066080B" w:rsidRDefault="00237E7E" w:rsidP="00237E7E">
            <w:pPr>
              <w:jc w:val="center"/>
              <w:rPr>
                <w:rFonts w:ascii="Century Gothic" w:hAnsi="Century Gothic"/>
              </w:rPr>
            </w:pPr>
            <w:r w:rsidRPr="0066080B">
              <w:rPr>
                <w:rFonts w:ascii="Century Gothic" w:hAnsi="Century Gothic"/>
              </w:rPr>
              <w:t>Medium</w:t>
            </w:r>
          </w:p>
        </w:tc>
        <w:tc>
          <w:tcPr>
            <w:tcW w:w="1096" w:type="dxa"/>
            <w:vAlign w:val="center"/>
          </w:tcPr>
          <w:p w14:paraId="1C347F22" w14:textId="77777777" w:rsidR="00237E7E" w:rsidRPr="0066080B" w:rsidRDefault="00237E7E" w:rsidP="00237E7E">
            <w:pPr>
              <w:jc w:val="center"/>
              <w:rPr>
                <w:rFonts w:ascii="Century Gothic" w:hAnsi="Century Gothic"/>
              </w:rPr>
            </w:pPr>
            <w:r w:rsidRPr="0066080B">
              <w:rPr>
                <w:rFonts w:ascii="Century Gothic" w:hAnsi="Century Gothic"/>
              </w:rPr>
              <w:t>High</w:t>
            </w:r>
          </w:p>
        </w:tc>
        <w:tc>
          <w:tcPr>
            <w:tcW w:w="2234" w:type="dxa"/>
            <w:vAlign w:val="center"/>
          </w:tcPr>
          <w:p w14:paraId="3F49AF76" w14:textId="77777777" w:rsidR="00237E7E" w:rsidRPr="0066080B" w:rsidRDefault="00237E7E" w:rsidP="00237E7E">
            <w:pPr>
              <w:jc w:val="center"/>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08DD109F" w14:textId="77777777" w:rsidR="00237E7E" w:rsidRPr="0066080B" w:rsidRDefault="00237E7E" w:rsidP="00237E7E">
            <w:pPr>
              <w:jc w:val="center"/>
              <w:rPr>
                <w:rFonts w:ascii="Century Gothic" w:hAnsi="Century Gothic"/>
              </w:rPr>
            </w:pPr>
            <w:r w:rsidRPr="0066080B">
              <w:rPr>
                <w:rFonts w:ascii="Century Gothic" w:hAnsi="Century Gothic"/>
              </w:rPr>
              <w:t>Changes made by the application conflicts with the interests and rules of the organization.</w:t>
            </w:r>
          </w:p>
        </w:tc>
      </w:tr>
    </w:tbl>
    <w:p w14:paraId="1B444C94" w14:textId="4290AD08" w:rsidR="001A22F4" w:rsidRPr="002210AC" w:rsidRDefault="00237E7E" w:rsidP="004E7EA4">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p>
    <w:p w14:paraId="12C803D9" w14:textId="1E485E85" w:rsidR="00D24260"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3.6 Roles and Responsibilities</w:t>
      </w:r>
    </w:p>
    <w:p w14:paraId="4FFBFC9C" w14:textId="41DCC8CF" w:rsidR="008367A7" w:rsidRPr="008367A7" w:rsidRDefault="008367A7" w:rsidP="00E857E8">
      <w:pPr>
        <w:suppressAutoHyphens/>
        <w:autoSpaceDE w:val="0"/>
        <w:autoSpaceDN w:val="0"/>
        <w:adjustRightInd w:val="0"/>
        <w:spacing w:after="0" w:line="480" w:lineRule="auto"/>
        <w:textAlignment w:val="center"/>
        <w:rPr>
          <w:rFonts w:ascii="Century Gothic" w:hAnsi="Century Gothic"/>
        </w:rPr>
      </w:pPr>
      <w:r>
        <w:rPr>
          <w:rFonts w:ascii="Century Gothic" w:hAnsi="Century Gothic"/>
          <w:b/>
          <w:sz w:val="24"/>
        </w:rPr>
        <w:tab/>
      </w:r>
    </w:p>
    <w:p w14:paraId="613AF01A" w14:textId="5F1A90CA" w:rsidR="00FC072D" w:rsidRDefault="00260CFD" w:rsidP="00260CFD">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3.7 New Procedures</w:t>
      </w:r>
    </w:p>
    <w:p w14:paraId="667D281D" w14:textId="2C76D93C" w:rsidR="006904A5" w:rsidRDefault="006904A5" w:rsidP="00260CFD">
      <w:pPr>
        <w:suppressAutoHyphens/>
        <w:autoSpaceDE w:val="0"/>
        <w:autoSpaceDN w:val="0"/>
        <w:adjustRightInd w:val="0"/>
        <w:spacing w:after="0" w:line="480" w:lineRule="auto"/>
        <w:textAlignment w:val="center"/>
        <w:rPr>
          <w:rFonts w:ascii="Century Gothic" w:hAnsi="Century Gothic"/>
          <w:b/>
        </w:rPr>
      </w:pPr>
      <w:r>
        <w:rPr>
          <w:rFonts w:ascii="Century Gothic" w:hAnsi="Century Gothic"/>
          <w:b/>
          <w:sz w:val="24"/>
        </w:rPr>
        <w:tab/>
      </w:r>
      <w:r w:rsidR="008F331F">
        <w:rPr>
          <w:rFonts w:ascii="Century Gothic" w:hAnsi="Century Gothic"/>
          <w:b/>
        </w:rPr>
        <w:t>Donations</w:t>
      </w:r>
    </w:p>
    <w:p w14:paraId="58A45469" w14:textId="319DAB3E" w:rsidR="008F331F" w:rsidRPr="008F331F" w:rsidRDefault="008F331F" w:rsidP="008F331F">
      <w:pPr>
        <w:pStyle w:val="ListParagraph"/>
        <w:numPr>
          <w:ilvl w:val="0"/>
          <w:numId w:val="14"/>
        </w:numPr>
        <w:suppressAutoHyphens/>
        <w:autoSpaceDE w:val="0"/>
        <w:autoSpaceDN w:val="0"/>
        <w:adjustRightInd w:val="0"/>
        <w:spacing w:after="0" w:line="480" w:lineRule="auto"/>
        <w:textAlignment w:val="center"/>
        <w:rPr>
          <w:rFonts w:ascii="Century Gothic" w:hAnsi="Century Gothic"/>
        </w:rPr>
      </w:pPr>
      <w:r>
        <w:rPr>
          <w:rFonts w:ascii="Century Gothic" w:hAnsi="Century Gothic"/>
        </w:rPr>
        <w:t>User must log</w:t>
      </w:r>
    </w:p>
    <w:sectPr w:rsidR="008F331F" w:rsidRPr="008F331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3"/>
  </w:num>
  <w:num w:numId="2">
    <w:abstractNumId w:val="8"/>
  </w:num>
  <w:num w:numId="3">
    <w:abstractNumId w:val="0"/>
  </w:num>
  <w:num w:numId="4">
    <w:abstractNumId w:val="4"/>
  </w:num>
  <w:num w:numId="5">
    <w:abstractNumId w:val="3"/>
  </w:num>
  <w:num w:numId="6">
    <w:abstractNumId w:val="7"/>
  </w:num>
  <w:num w:numId="7">
    <w:abstractNumId w:val="12"/>
  </w:num>
  <w:num w:numId="8">
    <w:abstractNumId w:val="9"/>
  </w:num>
  <w:num w:numId="9">
    <w:abstractNumId w:val="10"/>
  </w:num>
  <w:num w:numId="10">
    <w:abstractNumId w:val="11"/>
  </w:num>
  <w:num w:numId="11">
    <w:abstractNumId w:val="6"/>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9188F"/>
    <w:rsid w:val="000D6C0A"/>
    <w:rsid w:val="0015036B"/>
    <w:rsid w:val="001917EC"/>
    <w:rsid w:val="001A22F4"/>
    <w:rsid w:val="001E291B"/>
    <w:rsid w:val="002065C8"/>
    <w:rsid w:val="002210AC"/>
    <w:rsid w:val="00234AA3"/>
    <w:rsid w:val="00237E7E"/>
    <w:rsid w:val="00260CFD"/>
    <w:rsid w:val="00262FDD"/>
    <w:rsid w:val="002B45FA"/>
    <w:rsid w:val="002D68C6"/>
    <w:rsid w:val="002E2E8D"/>
    <w:rsid w:val="002E5BDF"/>
    <w:rsid w:val="002E7A62"/>
    <w:rsid w:val="003040D5"/>
    <w:rsid w:val="0030761A"/>
    <w:rsid w:val="00346C25"/>
    <w:rsid w:val="00352A2E"/>
    <w:rsid w:val="0036288F"/>
    <w:rsid w:val="004026D4"/>
    <w:rsid w:val="004925EC"/>
    <w:rsid w:val="004E0C8B"/>
    <w:rsid w:val="004E7EA4"/>
    <w:rsid w:val="00520FDA"/>
    <w:rsid w:val="00537E3F"/>
    <w:rsid w:val="00540B7F"/>
    <w:rsid w:val="005818A7"/>
    <w:rsid w:val="00586FA8"/>
    <w:rsid w:val="005B132B"/>
    <w:rsid w:val="005B42BB"/>
    <w:rsid w:val="005B68FA"/>
    <w:rsid w:val="005D5011"/>
    <w:rsid w:val="005E439C"/>
    <w:rsid w:val="005F7D80"/>
    <w:rsid w:val="00620A96"/>
    <w:rsid w:val="00646A14"/>
    <w:rsid w:val="00646E09"/>
    <w:rsid w:val="0065203A"/>
    <w:rsid w:val="00660D0F"/>
    <w:rsid w:val="00676BD5"/>
    <w:rsid w:val="006904A5"/>
    <w:rsid w:val="006F09EE"/>
    <w:rsid w:val="00712045"/>
    <w:rsid w:val="00720F30"/>
    <w:rsid w:val="00754117"/>
    <w:rsid w:val="00803763"/>
    <w:rsid w:val="00803921"/>
    <w:rsid w:val="008217FE"/>
    <w:rsid w:val="008367A7"/>
    <w:rsid w:val="00845B05"/>
    <w:rsid w:val="008A349D"/>
    <w:rsid w:val="008B5AC2"/>
    <w:rsid w:val="008E4918"/>
    <w:rsid w:val="008E5E68"/>
    <w:rsid w:val="008F331F"/>
    <w:rsid w:val="008F6B75"/>
    <w:rsid w:val="009035F0"/>
    <w:rsid w:val="009A3CFD"/>
    <w:rsid w:val="009B70DB"/>
    <w:rsid w:val="009C0C01"/>
    <w:rsid w:val="009C6586"/>
    <w:rsid w:val="009D0099"/>
    <w:rsid w:val="00A22283"/>
    <w:rsid w:val="00A47923"/>
    <w:rsid w:val="00A75297"/>
    <w:rsid w:val="00A85529"/>
    <w:rsid w:val="00AE2DA2"/>
    <w:rsid w:val="00AF05A0"/>
    <w:rsid w:val="00B176BE"/>
    <w:rsid w:val="00B240E0"/>
    <w:rsid w:val="00B72B59"/>
    <w:rsid w:val="00BB522B"/>
    <w:rsid w:val="00BB7B88"/>
    <w:rsid w:val="00BE6BAF"/>
    <w:rsid w:val="00BF658A"/>
    <w:rsid w:val="00C171C7"/>
    <w:rsid w:val="00C27E42"/>
    <w:rsid w:val="00C36B64"/>
    <w:rsid w:val="00C84EDD"/>
    <w:rsid w:val="00C8522C"/>
    <w:rsid w:val="00C9084D"/>
    <w:rsid w:val="00CD4EEC"/>
    <w:rsid w:val="00CF2733"/>
    <w:rsid w:val="00D24260"/>
    <w:rsid w:val="00D72FD1"/>
    <w:rsid w:val="00D7476A"/>
    <w:rsid w:val="00DB50B7"/>
    <w:rsid w:val="00DD368C"/>
    <w:rsid w:val="00E15427"/>
    <w:rsid w:val="00E51CDF"/>
    <w:rsid w:val="00E81495"/>
    <w:rsid w:val="00E857E8"/>
    <w:rsid w:val="00E9716C"/>
    <w:rsid w:val="00F20929"/>
    <w:rsid w:val="00F72342"/>
    <w:rsid w:val="00F91FA9"/>
    <w:rsid w:val="00FA5692"/>
    <w:rsid w:val="00FA617C"/>
    <w:rsid w:val="00FB2F48"/>
    <w:rsid w:val="00FB72EB"/>
    <w:rsid w:val="00FC072D"/>
    <w:rsid w:val="00FC0D68"/>
    <w:rsid w:val="00FC6F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5</cp:revision>
  <dcterms:created xsi:type="dcterms:W3CDTF">2018-11-30T09:56:00Z</dcterms:created>
  <dcterms:modified xsi:type="dcterms:W3CDTF">2018-12-03T04:05:00Z</dcterms:modified>
</cp:coreProperties>
</file>