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</w:rPr>
        <w:t>人工智能办公系统建设方案</w:t>
      </w:r>
    </w:p>
    <w:p>
      <w:pPr>
        <w:jc w:val="center"/>
      </w:pPr>
      <w:r>
        <w:t>信息化建设工作小组</w:t>
      </w:r>
    </w:p>
    <w:p>
      <w:pPr>
        <w:jc w:val="center"/>
      </w:pPr>
      <w:r>
        <w:t>2026年7月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p>
      <w:pPr>
        <w:ind w:firstLine="480"/>
      </w:pPr>
      <w:r>
        <w:t xml:space="preserve">　　本方案旨在系统推进办公自动化智能升级，通过引入先进的人工智能技术，全面提升行政办公效率，降低运营成本，改善用户体验，为现代化治理体系建设提供有力支撑。　　本方案旨在系统推进办公自动化智能升级，通过引入先进的人工智能技术，全面提升行政办公效率，降低运营成本，改善用户体验，为现代化治理体系建设提供有力支撑。</w:t>
      </w:r>
    </w:p>
    <w:sectPr>
      <w:pgSz w:w="11906" w:h="16838"/>
      <w:pgMar w:top="1440" w:right="1800" w:bottom="1440" w:left="1800" w:header="708" w:footer="708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