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</w:pPr>
      <w:r>
        <w:rPr>
          <w:rFonts w:ascii="Times New Roman" w:hAnsi="Times New Roman"/>
          <w:b w:val="0"/>
          <w:sz w:val="24"/>
        </w:rPr>
        <w:t>May 2, 2026</w:t>
      </w:r>
    </w:p>
    <w:p>
      <w:pPr>
        <w:spacing w:after="240" w:line="276" w:lineRule="auto"/>
      </w:pPr>
      <w:r>
        <w:rPr>
          <w:rFonts w:ascii="Times New Roman" w:hAnsi="Times New Roman"/>
          <w:b w:val="0"/>
          <w:sz w:val="24"/>
        </w:rPr>
        <w:t>Dear Editor,</w:t>
      </w:r>
    </w:p>
    <w:p>
      <w:pPr>
        <w:spacing w:after="200" w:line="276" w:lineRule="auto"/>
      </w:pPr>
      <w:r>
        <w:rPr>
          <w:rFonts w:ascii="Times New Roman" w:hAnsi="Times New Roman"/>
          <w:b w:val="0"/>
          <w:sz w:val="24"/>
        </w:rPr>
        <w:t>I am submitting a Brief Report entitled "Population Stratification Identifies Epidemiology-Discordant Variants in the HBB Locus: A Validation Framework for Structural Predictions" for consideration in Human Mutation.</w:t>
      </w:r>
    </w:p>
    <w:p>
      <w:pPr>
        <w:spacing w:after="200" w:line="276" w:lineRule="auto"/>
      </w:pPr>
      <w:r>
        <w:t>Structural variant prediction tools increasingly nominate 3D chromatin disruptions in regulatory regions, but prioritizing these predictions without functional data remains challenging. We demonstrate that population genetics — specifically cross-population allele frequency analysis — can provide orthogonal epidemiological context. By adapting the population stratification approach pioneered by PyPop to rare pathogenic-variant candidates, we identified two HBB promoter variants showing East Asian-specific enrichment despite beta-thalassemia being rare in this population — a reverse epidemiology pattern consistent with candidate population-specific benign polymorphisms and potential overclassification by structural prediction.</w:t>
      </w:r>
    </w:p>
    <w:p>
      <w:pPr>
        <w:spacing w:after="200" w:line="276" w:lineRule="auto"/>
      </w:pPr>
      <w:r>
        <w:t>This proof-of-concept study (n=15 variants, 12 successfully queried in gnomAD v4) demonstrates that integrating disease epidemiology with cross-population allele frequency consistency can identify potential epidemiology-discordant classifications and help prioritize regulatory variants for follow-up. The approach addresses a practical gap in regulatory variant interpretation, where experimental validation (Hi-C, CRISPR) is impractical for large-scale screening.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>Key findings: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3 (20%) variants not observed in gnomAD v4 queried datasets; 12 (80%) successfully queried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2 variants showed reverse epidemiology pattern (East Asian AF_EAS=0.000464-0.000648, disease carrier rate &lt;1% in East Asia)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Allele frequency coverage validation confirmed reliable estimates (AN_EAS &gt;30,000)</w:t>
      </w:r>
    </w:p>
    <w:p>
      <w:pPr>
        <w:pStyle w:val="ListBullet"/>
        <w:spacing w:after="60"/>
      </w:pPr>
      <w:r>
        <w:rPr>
          <w:rFonts w:ascii="Times New Roman" w:hAnsi="Times New Roman"/>
          <w:sz w:val="24"/>
        </w:rPr>
        <w:t>Sequence-based tools (VEP) correctly classified both as MODIFIER impact, demonstrating complementarity</w:t>
      </w:r>
    </w:p>
    <w:p/>
    <w:p>
      <w:pPr>
        <w:spacing w:after="200" w:line="276" w:lineRule="auto"/>
      </w:pPr>
      <w:r>
        <w:t>This work is novel in applying population stratification (established in immunogenetics via PyPop) to structural variant prioritization, and timely given increasing reliance on 3D genome-based prediction tools in clinical variant interpretation. Larger multi-locus studies are needed to quantify error rates systematically, but this study establishes population genetics as a scalable source of orthogonal evidence when functional data is unavailable.</w:t>
      </w:r>
    </w:p>
    <w:p>
      <w:pPr>
        <w:spacing w:after="320" w:line="276" w:lineRule="auto"/>
      </w:pPr>
      <w:r>
        <w:rPr>
          <w:rFonts w:ascii="Times New Roman" w:hAnsi="Times New Roman"/>
          <w:b w:val="0"/>
          <w:sz w:val="24"/>
        </w:rPr>
        <w:t>The manuscript has not been submitted elsewhere and all authors have approved the submission. No conflicts of interest to declare. Data and code are publicly available (GitHub + Zenodo DOI: 10.5281/zenodo.18908214).</w:t>
      </w:r>
    </w:p>
    <w:p>
      <w:r>
        <w:t>Data provenance note: The manuscript uses updated allele frequencies from results/gnomad_coverage_check.json (May 2, 2026) for VCV000015471 (AF_EAS=0.000648; AC=24/AN=37,034) and VCV000015466 (AF_EAS=0.000464; AC=17/AN=36,610). The earlier results/gnomad_populations_pearls.csv file is retained for transparency and contains one superseded preliminary value for VCV000015471, documented in results/README_DATA_NOTES.md.</w:t>
      </w:r>
    </w:p>
    <w:p/>
    <w:p>
      <w:pPr>
        <w:spacing w:after="480" w:line="276" w:lineRule="auto"/>
      </w:pPr>
      <w:r>
        <w:rPr>
          <w:rFonts w:ascii="Times New Roman" w:hAnsi="Times New Roman"/>
          <w:b w:val="0"/>
          <w:sz w:val="24"/>
        </w:rPr>
        <w:t>Sincerely,</w:t>
      </w:r>
    </w:p>
    <w:p>
      <w:pPr>
        <w:spacing w:after="80" w:line="276" w:lineRule="auto"/>
      </w:pPr>
      <w:r>
        <w:rPr>
          <w:rFonts w:ascii="Times New Roman" w:hAnsi="Times New Roman"/>
          <w:b/>
          <w:sz w:val="24"/>
        </w:rPr>
        <w:t>Sergey Boyko</w:t>
      </w:r>
    </w:p>
    <w:p>
      <w:pPr>
        <w:spacing w:after="40" w:line="276" w:lineRule="auto"/>
      </w:pPr>
      <w:r>
        <w:rPr>
          <w:rFonts w:ascii="Times New Roman" w:hAnsi="Times New Roman"/>
          <w:b w:val="0"/>
          <w:sz w:val="24"/>
        </w:rPr>
        <w:t>Independent Researcher</w:t>
      </w:r>
    </w:p>
    <w:p>
      <w:pPr>
        <w:spacing w:after="40" w:line="276" w:lineRule="auto"/>
      </w:pPr>
      <w:r>
        <w:t>Ronin Institute for Independent Scholarship 2.0 (application submitted; decision pending)</w:t>
      </w:r>
    </w:p>
    <w:p>
      <w:pPr>
        <w:spacing w:after="40" w:line="276" w:lineRule="auto"/>
      </w:pPr>
      <w:r>
        <w:rPr>
          <w:rFonts w:ascii="Times New Roman" w:hAnsi="Times New Roman"/>
          <w:b w:val="0"/>
          <w:sz w:val="24"/>
        </w:rPr>
        <w:t>sergeikuch80@gmail.com</w:t>
      </w:r>
    </w:p>
    <w:p>
      <w:pPr>
        <w:spacing w:after="40" w:line="276" w:lineRule="auto"/>
      </w:pPr>
      <w:r>
        <w:rPr>
          <w:rFonts w:ascii="Times New Roman" w:hAnsi="Times New Roman"/>
          <w:b w:val="0"/>
          <w:sz w:val="24"/>
        </w:rPr>
        <w:t>ORCID: 0009-0009-2178-5701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