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240" w:line="480" w:lineRule="auto"/>
        <w:jc w:val="center"/>
      </w:pPr>
      <w:r>
        <w:rPr>
          <w:rFonts w:ascii="Times New Roman" w:hAnsi="Times New Roman"/>
          <w:b/>
          <w:i w:val="0"/>
          <w:sz w:val="32"/>
        </w:rPr>
        <w:t>Population Stratification Identifies Epidemiology-Discordant Variants in the HBB Locus: A Validation Framework for Structural Predictions</w:t>
      </w:r>
    </w:p>
    <w:p>
      <w:pPr>
        <w:spacing w:before="0" w:after="120" w:line="480" w:lineRule="auto"/>
      </w:pPr>
      <w:r>
        <w:rPr>
          <w:rFonts w:ascii="Times New Roman" w:hAnsi="Times New Roman"/>
          <w:b/>
          <w:sz w:val="24"/>
        </w:rPr>
        <w:t>Authors:</w:t>
      </w:r>
      <w:r>
        <w:rPr>
          <w:rFonts w:ascii="Times New Roman" w:hAnsi="Times New Roman"/>
          <w:b w:val="0"/>
          <w:i w:val="0"/>
          <w:sz w:val="24"/>
        </w:rPr>
        <w:t xml:space="preserve"> Sergey Boyko</w:t>
      </w:r>
    </w:p>
    <w:p>
      <w:pPr>
        <w:spacing w:before="0" w:after="120" w:line="480" w:lineRule="auto"/>
      </w:pPr>
      <w:r>
        <w:rPr>
          <w:rFonts w:ascii="Times New Roman" w:hAnsi="Times New Roman"/>
          <w:b/>
          <w:sz w:val="24"/>
        </w:rPr>
        <w:t>Affiliation:</w:t>
      </w:r>
      <w:r>
        <w:rPr>
          <w:rFonts w:ascii="Times New Roman" w:hAnsi="Times New Roman"/>
          <w:b w:val="0"/>
          <w:i w:val="0"/>
          <w:sz w:val="24"/>
        </w:rPr>
        <w:t xml:space="preserve"> Independent Researcher; Ronin Institute for Independent Scholarship 2.0 (affiliation pending confirmation, decision expected May 2026)</w:t>
      </w:r>
    </w:p>
    <w:p>
      <w:pPr>
        <w:spacing w:before="0" w:after="120" w:line="480" w:lineRule="auto"/>
      </w:pPr>
      <w:r>
        <w:rPr>
          <w:rFonts w:ascii="Times New Roman" w:hAnsi="Times New Roman"/>
          <w:b/>
          <w:sz w:val="24"/>
        </w:rPr>
        <w:t>Correspondence:</w:t>
      </w:r>
      <w:r>
        <w:rPr>
          <w:rFonts w:ascii="Times New Roman" w:hAnsi="Times New Roman"/>
          <w:b w:val="0"/>
          <w:i w:val="0"/>
          <w:sz w:val="24"/>
        </w:rPr>
        <w:t xml:space="preserve"> sergeikuch80@gmail.com</w:t>
      </w:r>
    </w:p>
    <w:p>
      <w:pPr>
        <w:spacing w:before="0" w:after="120" w:line="480" w:lineRule="auto"/>
      </w:pPr>
      <w:r>
        <w:rPr>
          <w:rFonts w:ascii="Times New Roman" w:hAnsi="Times New Roman"/>
          <w:b/>
          <w:sz w:val="24"/>
        </w:rPr>
        <w:t>ORCID:</w:t>
      </w:r>
      <w:r>
        <w:rPr>
          <w:rFonts w:ascii="Times New Roman" w:hAnsi="Times New Roman"/>
          <w:b w:val="0"/>
          <w:i w:val="0"/>
          <w:sz w:val="24"/>
        </w:rPr>
        <w:t xml:space="preserve"> 0009-0009-2178-5701</w:t>
      </w:r>
    </w:p>
    <w:p>
      <w:pPr>
        <w:spacing w:before="0" w:after="120" w:line="480" w:lineRule="auto"/>
      </w:pPr>
      <w:r>
        <w:rPr>
          <w:rFonts w:ascii="Times New Roman" w:hAnsi="Times New Roman"/>
          <w:b/>
          <w:sz w:val="24"/>
        </w:rPr>
        <w:t>Running title:</w:t>
      </w:r>
      <w:r>
        <w:rPr>
          <w:rFonts w:ascii="Times New Roman" w:hAnsi="Times New Roman"/>
          <w:b w:val="0"/>
          <w:i w:val="0"/>
          <w:sz w:val="24"/>
        </w:rPr>
        <w:t xml:space="preserve"> Population Validation of HBB Structural Variants</w:t>
      </w:r>
    </w:p>
    <w:p>
      <w:pPr>
        <w:spacing w:before="0" w:after="120" w:line="480" w:lineRule="auto"/>
      </w:pPr>
      <w:r>
        <w:rPr>
          <w:rFonts w:ascii="Times New Roman" w:hAnsi="Times New Roman"/>
          <w:b/>
          <w:sz w:val="24"/>
        </w:rPr>
        <w:t>Article type:</w:t>
      </w:r>
      <w:r>
        <w:rPr>
          <w:rFonts w:ascii="Times New Roman" w:hAnsi="Times New Roman"/>
          <w:b w:val="0"/>
          <w:i w:val="0"/>
          <w:sz w:val="24"/>
        </w:rPr>
        <w:t xml:space="preserve"> Brief Report</w:t>
      </w:r>
    </w:p>
    <w:p>
      <w:pPr>
        <w:spacing w:before="0" w:after="120" w:line="480" w:lineRule="auto"/>
      </w:pPr>
      <w:r>
        <w:rPr>
          <w:rFonts w:ascii="Times New Roman" w:hAnsi="Times New Roman"/>
          <w:b/>
          <w:sz w:val="24"/>
        </w:rPr>
        <w:t>Conflict of interest:</w:t>
      </w:r>
      <w:r>
        <w:rPr>
          <w:rFonts w:ascii="Times New Roman" w:hAnsi="Times New Roman"/>
          <w:b w:val="0"/>
          <w:i w:val="0"/>
          <w:sz w:val="24"/>
        </w:rPr>
        <w:t xml:space="preserve"> None declared</w:t>
      </w:r>
    </w:p>
    <w:p>
      <w:pPr>
        <w:spacing w:before="0" w:after="120" w:line="480" w:lineRule="auto"/>
      </w:pPr>
      <w:r>
        <w:rPr>
          <w:rFonts w:ascii="Times New Roman" w:hAnsi="Times New Roman"/>
          <w:b/>
          <w:sz w:val="24"/>
        </w:rPr>
        <w:t>Funding:</w:t>
      </w:r>
      <w:r>
        <w:rPr>
          <w:rFonts w:ascii="Times New Roman" w:hAnsi="Times New Roman"/>
          <w:b w:val="0"/>
          <w:i w:val="0"/>
          <w:sz w:val="24"/>
        </w:rPr>
        <w:t xml:space="preserve"> None</w:t>
      </w:r>
    </w:p>
    <w:p>
      <w:pPr>
        <w:spacing w:before="0" w:after="120" w:line="480" w:lineRule="auto"/>
      </w:pPr>
      <w:r>
        <w:rPr>
          <w:rFonts w:ascii="Times New Roman" w:hAnsi="Times New Roman"/>
          <w:b/>
          <w:sz w:val="24"/>
        </w:rPr>
        <w:t>Tool disclosure:</w:t>
      </w:r>
      <w:r>
        <w:rPr>
          <w:rFonts w:ascii="Times New Roman" w:hAnsi="Times New Roman"/>
          <w:b w:val="0"/>
          <w:i w:val="0"/>
          <w:sz w:val="24"/>
        </w:rPr>
        <w:t xml:space="preserve"> ARCHCODE (Zenodo DOI: 10.5281/zenodo.18908214, v2.17) was developed by the author. Validation uses independent gnomAD population data.</w:t>
      </w:r>
    </w:p>
    <w:p>
      <w:pPr>
        <w:spacing w:before="120" w:after="120"/>
      </w:pPr>
    </w:p>
    <w:p>
      <w:pPr>
        <w:spacing w:before="240" w:after="120" w:line="480" w:lineRule="auto"/>
      </w:pPr>
      <w:r>
        <w:rPr>
          <w:rFonts w:ascii="Times New Roman" w:hAnsi="Times New Roman"/>
          <w:b/>
          <w:i w:val="0"/>
          <w:sz w:val="28"/>
        </w:rPr>
        <w:t>ABSTRACT</w:t>
      </w:r>
    </w:p>
    <w:p>
      <w:pPr>
        <w:spacing w:before="0" w:after="120" w:line="480" w:lineRule="auto"/>
      </w:pPr>
      <w:r>
        <w:rPr>
          <w:rFonts w:ascii="Times New Roman" w:hAnsi="Times New Roman"/>
          <w:b/>
          <w:sz w:val="24"/>
        </w:rPr>
        <w:t>Background:</w:t>
      </w:r>
      <w:r>
        <w:rPr>
          <w:rFonts w:ascii="Times New Roman" w:hAnsi="Times New Roman"/>
          <w:b w:val="0"/>
          <w:i w:val="0"/>
          <w:sz w:val="24"/>
        </w:rPr>
        <w:t xml:space="preserve"> Structural variant prediction tools detect 3D chromatin disruptions in regulatory regions that sequence-based pathogenicity predictors (VEP, CADD) classify as low impact. However, validating structural predictions without functional data remains challenging. Population genetics offers an alternative validation strategy: truly pathogenic variants should be under purifying selection and thus rare across all populations, while population-specific presence suggests benign variation.</w:t>
      </w:r>
    </w:p>
    <w:p>
      <w:pPr>
        <w:spacing w:before="0" w:after="120" w:line="480" w:lineRule="auto"/>
      </w:pPr>
      <w:r>
        <w:rPr>
          <w:rFonts w:ascii="Times New Roman" w:hAnsi="Times New Roman"/>
          <w:b/>
          <w:sz w:val="24"/>
        </w:rPr>
        <w:t>Methods:</w:t>
      </w:r>
      <w:r>
        <w:rPr>
          <w:rFonts w:ascii="Times New Roman" w:hAnsi="Times New Roman"/>
          <w:b w:val="0"/>
          <w:i w:val="0"/>
          <w:sz w:val="24"/>
        </w:rPr>
        <w:t xml:space="preserve"> We adapted the PyPop population stratification framework (Lancaster et al., 2024) to validate 15 HBB promoter region variants identified by ARCHCODE structural prediction. We queried gnomAD v4 (807,162 individuals) for population-specific allele frequencies across 5 genetic ancestry groups (AFR, AMR, EAS, EUR, SAS) and cross-referenced results with beta-thalassemia epidemiology. Variants with population-specific presence inconsistent with disease prevalence were flagged as potential false positives.</w:t>
      </w:r>
    </w:p>
    <w:p>
      <w:pPr>
        <w:spacing w:before="0" w:after="120" w:line="480" w:lineRule="auto"/>
      </w:pPr>
      <w:r>
        <w:rPr>
          <w:rFonts w:ascii="Times New Roman" w:hAnsi="Times New Roman"/>
          <w:b/>
          <w:sz w:val="24"/>
        </w:rPr>
        <w:t>Results:</w:t>
      </w:r>
      <w:r>
        <w:rPr>
          <w:rFonts w:ascii="Times New Roman" w:hAnsi="Times New Roman"/>
          <w:b w:val="0"/>
          <w:i w:val="0"/>
          <w:sz w:val="24"/>
        </w:rPr>
        <w:t xml:space="preserve"> Of 15 HBB promoter variants, 3 (20.0%) were not observed in gnomAD v4 queried datasets, and 12 (80.0%) were successfully queried. Two variants showed East Asian-specific enrichment (AF_EAS = 0.000464-0.000648, popmax = eas) despite beta-thalassemia being rare in East Asian populations (carrier rate &lt;1%), suggesting population-specific benign polymorphisms and potential misclassification by structural prediction. VEP correctly classified both as MODIFIER impact, demonstrating complementarity between sequence-based and structural approaches.</w:t>
      </w:r>
    </w:p>
    <w:p>
      <w:pPr>
        <w:spacing w:before="0" w:after="120" w:line="480" w:lineRule="auto"/>
      </w:pPr>
      <w:r>
        <w:rPr>
          <w:rFonts w:ascii="Times New Roman" w:hAnsi="Times New Roman"/>
          <w:b/>
          <w:sz w:val="24"/>
        </w:rPr>
        <w:t>Conclusion:</w:t>
      </w:r>
      <w:r>
        <w:rPr>
          <w:rFonts w:ascii="Times New Roman" w:hAnsi="Times New Roman"/>
          <w:b w:val="0"/>
          <w:i w:val="0"/>
          <w:sz w:val="24"/>
        </w:rPr>
        <w:t xml:space="preserve"> Population stratification detects epidemiology mismatches in structural variant predictions invisible to sequence-based tools. Integrating cross-population allele frequency analysis with disease epidemiology provides a validation framework for regulatory variant interpretation, particularly when functional data is unavailable. Larger multi-locus studies are needed to quantify false positive rates across structural prediction tools.</w:t>
      </w:r>
    </w:p>
    <w:p>
      <w:pPr>
        <w:spacing w:before="0" w:after="120" w:line="480" w:lineRule="auto"/>
      </w:pPr>
      <w:r>
        <w:rPr>
          <w:rFonts w:ascii="Times New Roman" w:hAnsi="Times New Roman"/>
          <w:b/>
          <w:sz w:val="24"/>
        </w:rPr>
        <w:t>Keywords:</w:t>
      </w:r>
      <w:r>
        <w:rPr>
          <w:rFonts w:ascii="Times New Roman" w:hAnsi="Times New Roman"/>
          <w:b w:val="0"/>
          <w:i w:val="0"/>
          <w:sz w:val="24"/>
        </w:rPr>
        <w:t xml:space="preserve"> population genetics, structural variants, PyPop, beta-thalassemia, regulatory variants, HBB, gnomAD, variant validation</w:t>
      </w:r>
    </w:p>
    <w:p>
      <w:pPr>
        <w:spacing w:before="120" w:after="120"/>
      </w:pPr>
    </w:p>
    <w:p>
      <w:pPr>
        <w:spacing w:before="240" w:after="120" w:line="480" w:lineRule="auto"/>
      </w:pPr>
      <w:r>
        <w:rPr>
          <w:rFonts w:ascii="Times New Roman" w:hAnsi="Times New Roman"/>
          <w:b/>
          <w:i w:val="0"/>
          <w:sz w:val="28"/>
        </w:rPr>
        <w:t>INTRODUCTION</w:t>
      </w:r>
    </w:p>
    <w:p>
      <w:pPr>
        <w:spacing w:before="0" w:after="120" w:line="480" w:lineRule="auto"/>
      </w:pPr>
      <w:r>
        <w:rPr>
          <w:rFonts w:ascii="Times New Roman" w:hAnsi="Times New Roman"/>
          <w:b w:val="0"/>
          <w:i w:val="0"/>
          <w:sz w:val="24"/>
        </w:rPr>
        <w:t>Structural variation in non-coding regulatory regions poses a significant challenge for clinical variant interpretation. While sequence-based pathogenicity predictors (VEP, CADD, SpliceAI) perform well for coding variants, they often classify promoter and enhancer variants as "low impact" (MODIFIER) even when these variants disrupt 3D chromatin structure and gene expression (Spielmann et al., 2018; Lupiáñez et al., 2015). This limitation has motivated the development of 3D genome-based variant effect prediction tools, including ARCHCODE, which predicts structural disruption from chromatin contact map perturbations.</w:t>
      </w:r>
    </w:p>
    <w:p>
      <w:pPr>
        <w:spacing w:before="0" w:after="120" w:line="480" w:lineRule="auto"/>
      </w:pPr>
      <w:r>
        <w:rPr>
          <w:rFonts w:ascii="Times New Roman" w:hAnsi="Times New Roman"/>
          <w:b w:val="0"/>
          <w:i w:val="0"/>
          <w:sz w:val="24"/>
        </w:rPr>
        <w:t xml:space="preserve">However, structural variant prediction introduces a new challenge: </w:t>
      </w:r>
      <w:r>
        <w:rPr>
          <w:rFonts w:ascii="Times New Roman" w:hAnsi="Times New Roman"/>
          <w:b/>
          <w:sz w:val="24"/>
        </w:rPr>
        <w:t>how to validate predictions in the absence of functional data</w:t>
      </w:r>
      <w:r>
        <w:rPr>
          <w:rFonts w:ascii="Times New Roman" w:hAnsi="Times New Roman"/>
          <w:b w:val="0"/>
          <w:i w:val="0"/>
          <w:sz w:val="24"/>
        </w:rPr>
        <w:t>. Unlike coding variants, where protein structure and conservation provide ground truth, regulatory variants lack direct phenotypic readouts. Chromatin immunoprecipitation (ChIP-seq) and Hi-C experiments are expensive and cell-type-specific, making experimental validation impractical for large-scale variant screening.</w:t>
      </w:r>
    </w:p>
    <w:p>
      <w:pPr>
        <w:spacing w:before="0" w:after="120" w:line="480" w:lineRule="auto"/>
      </w:pPr>
      <w:r>
        <w:rPr>
          <w:rFonts w:ascii="Times New Roman" w:hAnsi="Times New Roman"/>
          <w:b/>
          <w:sz w:val="24"/>
        </w:rPr>
        <w:t>Population genetics offers an alternative validation strategy.</w:t>
      </w:r>
      <w:r>
        <w:rPr>
          <w:rFonts w:ascii="Times New Roman" w:hAnsi="Times New Roman"/>
          <w:b w:val="0"/>
          <w:i w:val="0"/>
          <w:sz w:val="24"/>
        </w:rPr>
        <w:t xml:space="preserve"> If a structural variant prediction is truly pathogenic, the variant should be under purifying selection and thus rare or absent across all human populations. Conversely, if a predicted pathogenic variant shows population-specific presence — particularly in populations where the disease is NOT enriched — this suggests misclassification.</w:t>
      </w:r>
    </w:p>
    <w:p>
      <w:pPr>
        <w:spacing w:before="0" w:after="120" w:line="480" w:lineRule="auto"/>
      </w:pPr>
      <w:r>
        <w:rPr>
          <w:rFonts w:ascii="Times New Roman" w:hAnsi="Times New Roman"/>
          <w:b w:val="0"/>
          <w:i w:val="0"/>
          <w:sz w:val="24"/>
        </w:rPr>
        <w:t xml:space="preserve">The PyPop framework, originally developed for HLA immunogenetics (Lancaster et al., 2024), provides a robust methodology for cross-population meta-analysis. PyPop compares genotype frequencies across populations to detect deviations from Hardy-Weinberg equilibrium and population structure. We hypothesized that adapting PyPop's population stratification approach to </w:t>
      </w:r>
      <w:r>
        <w:rPr>
          <w:rFonts w:ascii="Times New Roman" w:hAnsi="Times New Roman"/>
          <w:b/>
          <w:sz w:val="24"/>
        </w:rPr>
        <w:t>rare pathogenic variants</w:t>
      </w:r>
      <w:r>
        <w:rPr>
          <w:rFonts w:ascii="Times New Roman" w:hAnsi="Times New Roman"/>
          <w:b w:val="0"/>
          <w:i w:val="0"/>
          <w:sz w:val="24"/>
        </w:rPr>
        <w:t xml:space="preserve"> (allele frequency &lt; 0.001) could identify false positives in structural variant prediction.</w:t>
      </w:r>
    </w:p>
    <w:p>
      <w:pPr>
        <w:spacing w:before="0" w:after="120" w:line="480" w:lineRule="auto"/>
      </w:pPr>
      <w:r>
        <w:rPr>
          <w:rFonts w:ascii="Times New Roman" w:hAnsi="Times New Roman"/>
          <w:b/>
          <w:sz w:val="24"/>
        </w:rPr>
        <w:t>Beta-thalassemia provides an ideal test case</w:t>
      </w:r>
      <w:r>
        <w:rPr>
          <w:rFonts w:ascii="Times New Roman" w:hAnsi="Times New Roman"/>
          <w:b w:val="0"/>
          <w:i w:val="0"/>
          <w:sz w:val="24"/>
        </w:rPr>
        <w:t xml:space="preserve"> for this hypothesis. The disease has well-characterized epidemiology: high prevalence in Mediterranean and South Asian populations (carrier rate 3-20%), but low prevalence in East Asian populations (carrier rate &lt;1%) (Angastiniotis &amp; Modell, 1998; Weatherall, 2001). If an ARCHCODE-predicted structural variant in the HBB promoter region shows East Asian-specific enrichment, this contradicts the known disease distribution and suggests a </w:t>
      </w:r>
      <w:r>
        <w:rPr>
          <w:rFonts w:ascii="Times New Roman" w:hAnsi="Times New Roman"/>
          <w:b/>
          <w:sz w:val="24"/>
        </w:rPr>
        <w:t>population-specific benign polymorphism</w:t>
      </w:r>
      <w:r>
        <w:rPr>
          <w:rFonts w:ascii="Times New Roman" w:hAnsi="Times New Roman"/>
          <w:b w:val="0"/>
          <w:i w:val="0"/>
          <w:sz w:val="24"/>
        </w:rPr>
        <w:t xml:space="preserve"> rather than a pathogenic mutation.</w:t>
      </w:r>
    </w:p>
    <w:p>
      <w:pPr>
        <w:spacing w:before="0" w:after="120" w:line="480" w:lineRule="auto"/>
      </w:pPr>
      <w:r>
        <w:rPr>
          <w:rFonts w:ascii="Times New Roman" w:hAnsi="Times New Roman"/>
          <w:b w:val="0"/>
          <w:i w:val="0"/>
          <w:sz w:val="24"/>
        </w:rPr>
        <w:t>In this study, we applied PyPop population stratification to 15 HBB promoter region variants identified by ARCHCODE structural prediction. We queried gnomAD v4 (807,162 individuals) for population-specific allele frequencies across 5 major genetic ancestry groups and cross-referenced results with beta-thalassemia epidemiology. Our objectives were:</w:t>
      </w:r>
    </w:p>
    <w:p>
      <w:pPr>
        <w:pStyle w:val="ListNumber"/>
        <w:spacing w:line="480" w:lineRule="auto"/>
      </w:pPr>
      <w:r>
        <w:rPr>
          <w:rFonts w:ascii="Times New Roman" w:hAnsi="Times New Roman"/>
          <w:sz w:val="24"/>
        </w:rPr>
        <w:t>**Validate ARCHCODE structural predictions** using cross-population allele frequency consistency</w:t>
      </w:r>
    </w:p>
    <w:p>
      <w:pPr>
        <w:pStyle w:val="ListNumber"/>
        <w:spacing w:line="480" w:lineRule="auto"/>
      </w:pPr>
      <w:r>
        <w:rPr>
          <w:rFonts w:ascii="Times New Roman" w:hAnsi="Times New Roman"/>
          <w:sz w:val="24"/>
        </w:rPr>
        <w:t>**Identify potential false positives** via disease epidemiology concordance</w:t>
      </w:r>
    </w:p>
    <w:p>
      <w:pPr>
        <w:pStyle w:val="ListNumber"/>
        <w:spacing w:line="480" w:lineRule="auto"/>
      </w:pPr>
      <w:r>
        <w:rPr>
          <w:rFonts w:ascii="Times New Roman" w:hAnsi="Times New Roman"/>
          <w:sz w:val="24"/>
        </w:rPr>
        <w:t>**Demonstrate population stratification** as a validation framework for structural predictions</w:t>
      </w:r>
    </w:p>
    <w:p>
      <w:pPr>
        <w:pStyle w:val="ListNumber"/>
        <w:spacing w:line="480" w:lineRule="auto"/>
      </w:pPr>
      <w:r>
        <w:rPr>
          <w:rFonts w:ascii="Times New Roman" w:hAnsi="Times New Roman"/>
          <w:sz w:val="24"/>
        </w:rPr>
        <w:t>**Compare with sequence-based tools** (VEP, CADD) to assess complementarity</w:t>
      </w:r>
    </w:p>
    <w:p>
      <w:pPr>
        <w:spacing w:before="0" w:after="120" w:line="480" w:lineRule="auto"/>
      </w:pPr>
      <w:r>
        <w:rPr>
          <w:rFonts w:ascii="Times New Roman" w:hAnsi="Times New Roman"/>
          <w:b w:val="0"/>
          <w:i w:val="0"/>
          <w:sz w:val="24"/>
        </w:rPr>
        <w:t>We demonstrate that population stratification detects epidemiology mismatches invisible to sequence-based tools. Two HBB promoter variants show East Asian-specific enrichment despite beta-thalassemia being rare in this population, suggesting population-specific benign polymorphisms and potential overclassification by structural prediction. This approach provides a scalable validation strategy when functional data is unavailable, though larger multi-locus studies are needed to quantify error rates systematically.</w:t>
      </w:r>
    </w:p>
    <w:p>
      <w:pPr>
        <w:spacing w:before="120" w:after="120"/>
      </w:pPr>
    </w:p>
    <w:p>
      <w:pPr>
        <w:spacing w:before="240" w:after="120" w:line="480" w:lineRule="auto"/>
      </w:pPr>
      <w:r>
        <w:rPr>
          <w:rFonts w:ascii="Times New Roman" w:hAnsi="Times New Roman"/>
          <w:b/>
          <w:i w:val="0"/>
          <w:sz w:val="28"/>
        </w:rPr>
        <w:t>METHODS</w:t>
      </w:r>
    </w:p>
    <w:p>
      <w:pPr>
        <w:spacing w:before="120" w:after="60" w:line="480" w:lineRule="auto"/>
      </w:pPr>
      <w:r>
        <w:rPr>
          <w:rFonts w:ascii="Times New Roman" w:hAnsi="Times New Roman"/>
          <w:b/>
          <w:i w:val="0"/>
          <w:sz w:val="24"/>
        </w:rPr>
        <w:t>Study Design</w:t>
      </w:r>
    </w:p>
    <w:p>
      <w:pPr>
        <w:spacing w:before="0" w:after="120" w:line="480" w:lineRule="auto"/>
      </w:pPr>
      <w:r>
        <w:rPr>
          <w:rFonts w:ascii="Times New Roman" w:hAnsi="Times New Roman"/>
          <w:b w:val="0"/>
          <w:i w:val="0"/>
          <w:sz w:val="24"/>
        </w:rPr>
        <w:t>We applied population stratification analysis to HBB promoter region variants identified by ARCHCODE, a structural variant prediction pipeline based on 3D chromatin contact disruption. The analysis utilized the PyPop framework (Lancaster et al., 2024) adapted for rare pathogenic variants (allele frequency &lt; 0.001).</w:t>
      </w:r>
    </w:p>
    <w:p>
      <w:pPr>
        <w:spacing w:before="0" w:after="120" w:line="480" w:lineRule="auto"/>
      </w:pPr>
      <w:r>
        <w:rPr>
          <w:rFonts w:ascii="Times New Roman" w:hAnsi="Times New Roman"/>
          <w:b/>
          <w:sz w:val="24"/>
        </w:rPr>
        <w:t>Objective:</w:t>
      </w:r>
      <w:r>
        <w:rPr>
          <w:rFonts w:ascii="Times New Roman" w:hAnsi="Times New Roman"/>
          <w:b w:val="0"/>
          <w:i w:val="0"/>
          <w:sz w:val="24"/>
        </w:rPr>
        <w:t xml:space="preserve"> Validate structural predictions through cross-population allele frequency consistency and disease epidemiology concordance.</w:t>
      </w:r>
    </w:p>
    <w:p>
      <w:pPr>
        <w:spacing w:before="0" w:after="120" w:line="480" w:lineRule="auto"/>
      </w:pPr>
      <w:r>
        <w:rPr>
          <w:rFonts w:ascii="Times New Roman" w:hAnsi="Times New Roman"/>
          <w:b/>
          <w:sz w:val="24"/>
        </w:rPr>
        <w:t>Hypothesis:</w:t>
      </w:r>
      <w:r>
        <w:rPr>
          <w:rFonts w:ascii="Times New Roman" w:hAnsi="Times New Roman"/>
          <w:b w:val="0"/>
          <w:i w:val="0"/>
          <w:sz w:val="24"/>
        </w:rPr>
        <w:t xml:space="preserve"> Structural variant predictions that show population-specific presence inconsistent with disease prevalence may represent candidate false positives — potentially benign polymorphisms epidemiology-discordant with structural predictions.</w:t>
      </w:r>
    </w:p>
    <w:p>
      <w:pPr>
        <w:spacing w:before="120" w:after="60" w:line="480" w:lineRule="auto"/>
      </w:pPr>
      <w:r>
        <w:rPr>
          <w:rFonts w:ascii="Times New Roman" w:hAnsi="Times New Roman"/>
          <w:b/>
          <w:i w:val="0"/>
          <w:sz w:val="24"/>
        </w:rPr>
        <w:t>Variant Selection</w:t>
      </w:r>
    </w:p>
    <w:p>
      <w:pPr>
        <w:spacing w:before="0" w:after="120" w:line="480" w:lineRule="auto"/>
      </w:pPr>
      <w:r>
        <w:rPr>
          <w:rFonts w:ascii="Times New Roman" w:hAnsi="Times New Roman"/>
          <w:b/>
          <w:sz w:val="24"/>
        </w:rPr>
        <w:t>Source:</w:t>
      </w:r>
      <w:r>
        <w:rPr>
          <w:rFonts w:ascii="Times New Roman" w:hAnsi="Times New Roman"/>
          <w:b w:val="0"/>
          <w:i w:val="0"/>
          <w:sz w:val="24"/>
        </w:rPr>
        <w:t xml:space="preserve"> ClinVar database (accessed March 2026)</w:t>
      </w:r>
    </w:p>
    <w:p>
      <w:pPr>
        <w:spacing w:before="0" w:after="120" w:line="480" w:lineRule="auto"/>
      </w:pPr>
      <w:r>
        <w:rPr>
          <w:rFonts w:ascii="Times New Roman" w:hAnsi="Times New Roman"/>
          <w:b/>
          <w:sz w:val="24"/>
        </w:rPr>
        <w:t>Locus:</w:t>
      </w:r>
      <w:r>
        <w:rPr>
          <w:rFonts w:ascii="Times New Roman" w:hAnsi="Times New Roman"/>
          <w:b w:val="0"/>
          <w:i w:val="0"/>
          <w:sz w:val="24"/>
        </w:rPr>
        <w:t xml:space="preserve"> HBB gene (chr11:5,225,464-5,227,071, GRCh38)</w:t>
      </w:r>
    </w:p>
    <w:p>
      <w:pPr>
        <w:spacing w:before="0" w:after="120" w:line="480" w:lineRule="auto"/>
      </w:pPr>
      <w:r>
        <w:rPr>
          <w:rFonts w:ascii="Times New Roman" w:hAnsi="Times New Roman"/>
          <w:b/>
          <w:sz w:val="24"/>
        </w:rPr>
        <w:t>Region:</w:t>
      </w:r>
      <w:r>
        <w:rPr>
          <w:rFonts w:ascii="Times New Roman" w:hAnsi="Times New Roman"/>
          <w:b w:val="0"/>
          <w:i w:val="0"/>
          <w:sz w:val="24"/>
        </w:rPr>
        <w:t xml:space="preserve"> Promoter region (73bp cluster, -200 to -127 bp from transcription start site)</w:t>
      </w:r>
    </w:p>
    <w:p>
      <w:pPr>
        <w:spacing w:before="0" w:after="120" w:line="480" w:lineRule="auto"/>
      </w:pPr>
      <w:r>
        <w:rPr>
          <w:rFonts w:ascii="Times New Roman" w:hAnsi="Times New Roman"/>
          <w:b/>
          <w:sz w:val="24"/>
        </w:rPr>
        <w:t>Inclusion criteria:</w:t>
      </w:r>
    </w:p>
    <w:p>
      <w:pPr>
        <w:pStyle w:val="ListBullet"/>
        <w:spacing w:before="0" w:after="40" w:line="480" w:lineRule="auto"/>
      </w:pPr>
      <w:r>
        <w:rPr>
          <w:rFonts w:ascii="Times New Roman" w:hAnsi="Times New Roman"/>
          <w:sz w:val="24"/>
        </w:rPr>
        <w:t>ARCHCODE LSSIM (local structural similarity index) &lt; 0.93, indicating predicted structural disruption</w:t>
      </w:r>
    </w:p>
    <w:p>
      <w:pPr>
        <w:pStyle w:val="ListBullet"/>
        <w:spacing w:before="0" w:after="40" w:line="480" w:lineRule="auto"/>
      </w:pPr>
      <w:r>
        <w:rPr>
          <w:rFonts w:ascii="Times New Roman" w:hAnsi="Times New Roman"/>
          <w:sz w:val="24"/>
        </w:rPr>
        <w:t>VEP consequence annotation: MODIFIER or LOW (sequence-based tools classify as low impact)</w:t>
      </w:r>
    </w:p>
    <w:p>
      <w:pPr>
        <w:pStyle w:val="ListBullet"/>
        <w:spacing w:before="0" w:after="40" w:line="480" w:lineRule="auto"/>
      </w:pPr>
      <w:r>
        <w:rPr>
          <w:rFonts w:ascii="Times New Roman" w:hAnsi="Times New Roman"/>
          <w:sz w:val="24"/>
        </w:rPr>
        <w:t>ClinVar annotation: Pathogenic, Likely Pathogenic, VUS, or Benign (for validation)</w:t>
      </w:r>
    </w:p>
    <w:p>
      <w:pPr>
        <w:spacing w:before="0" w:after="120" w:line="480" w:lineRule="auto"/>
      </w:pPr>
      <w:r>
        <w:rPr>
          <w:rFonts w:ascii="Times New Roman" w:hAnsi="Times New Roman"/>
          <w:b/>
          <w:sz w:val="24"/>
        </w:rPr>
        <w:t>Total variants analyzed:</w:t>
      </w:r>
      <w:r>
        <w:rPr>
          <w:rFonts w:ascii="Times New Roman" w:hAnsi="Times New Roman"/>
          <w:b w:val="0"/>
          <w:i w:val="0"/>
          <w:sz w:val="24"/>
        </w:rPr>
        <w:t xml:space="preserve"> 15</w:t>
      </w:r>
    </w:p>
    <w:p>
      <w:pPr>
        <w:spacing w:before="0" w:after="120" w:line="480" w:lineRule="auto"/>
      </w:pPr>
      <w:r>
        <w:rPr>
          <w:rFonts w:ascii="Times New Roman" w:hAnsi="Times New Roman"/>
          <w:b/>
          <w:sz w:val="24"/>
        </w:rPr>
        <w:t>Successfully queried in gnomAD:</w:t>
      </w:r>
      <w:r>
        <w:rPr>
          <w:rFonts w:ascii="Times New Roman" w:hAnsi="Times New Roman"/>
          <w:b w:val="0"/>
          <w:i w:val="0"/>
          <w:sz w:val="24"/>
        </w:rPr>
        <w:t xml:space="preserve"> 12 (3 not found in gnomAD v4)</w:t>
      </w:r>
    </w:p>
    <w:p>
      <w:pPr>
        <w:spacing w:before="120" w:after="60" w:line="480" w:lineRule="auto"/>
      </w:pPr>
      <w:r>
        <w:rPr>
          <w:rFonts w:ascii="Times New Roman" w:hAnsi="Times New Roman"/>
          <w:b/>
          <w:i w:val="0"/>
          <w:sz w:val="24"/>
        </w:rPr>
        <w:t>Population Stratification Analysis</w:t>
      </w:r>
    </w:p>
    <w:p>
      <w:pPr>
        <w:spacing w:before="0" w:after="120" w:line="480" w:lineRule="auto"/>
      </w:pPr>
      <w:r>
        <w:rPr>
          <w:rFonts w:ascii="Times New Roman" w:hAnsi="Times New Roman"/>
          <w:b/>
          <w:sz w:val="24"/>
        </w:rPr>
        <w:t>Data source:</w:t>
      </w:r>
      <w:r>
        <w:rPr>
          <w:rFonts w:ascii="Times New Roman" w:hAnsi="Times New Roman"/>
          <w:b w:val="0"/>
          <w:i w:val="0"/>
          <w:sz w:val="24"/>
        </w:rPr>
        <w:t xml:space="preserve"> Genome Aggregation Database (gnomAD) v4 (Chen et al., 2024)</w:t>
      </w:r>
    </w:p>
    <w:p>
      <w:pPr>
        <w:pStyle w:val="ListBullet"/>
        <w:spacing w:before="0" w:after="40" w:line="480" w:lineRule="auto"/>
      </w:pPr>
      <w:r>
        <w:rPr>
          <w:rFonts w:ascii="Times New Roman" w:hAnsi="Times New Roman"/>
          <w:sz w:val="24"/>
        </w:rPr>
        <w:t>Total individuals: 807,162 (genome 76,156 + exome 730,947)</w:t>
      </w:r>
    </w:p>
    <w:p>
      <w:pPr>
        <w:pStyle w:val="ListBullet"/>
        <w:spacing w:before="0" w:after="40" w:line="480" w:lineRule="auto"/>
      </w:pPr>
      <w:r>
        <w:rPr>
          <w:rFonts w:ascii="Times New Roman" w:hAnsi="Times New Roman"/>
          <w:sz w:val="24"/>
        </w:rPr>
        <w:t>Populations analyzed: AFR, AMR, EAS, EUR, SAS</w:t>
      </w:r>
    </w:p>
    <w:p>
      <w:pPr>
        <w:spacing w:before="0" w:after="120" w:line="480" w:lineRule="auto"/>
      </w:pPr>
      <w:r>
        <w:rPr>
          <w:rFonts w:ascii="Times New Roman" w:hAnsi="Times New Roman"/>
          <w:b/>
          <w:sz w:val="24"/>
        </w:rPr>
        <w:t>Query method:</w:t>
      </w:r>
      <w:r>
        <w:rPr>
          <w:rFonts w:ascii="Times New Roman" w:hAnsi="Times New Roman"/>
          <w:b w:val="0"/>
          <w:i w:val="0"/>
          <w:sz w:val="24"/>
        </w:rPr>
        <w:t xml:space="preserve"> gnomAD GraphQL API with 3-second rate limiting and exponential backoff retry logic. Population-specific allele frequencies calculated manually from allele count (AC) and allele number (AN) fields.</w:t>
      </w:r>
    </w:p>
    <w:p>
      <w:pPr>
        <w:spacing w:before="120" w:after="60" w:line="480" w:lineRule="auto"/>
      </w:pPr>
      <w:r>
        <w:rPr>
          <w:rFonts w:ascii="Times New Roman" w:hAnsi="Times New Roman"/>
          <w:b/>
          <w:i w:val="0"/>
          <w:sz w:val="24"/>
        </w:rPr>
        <w:t>PyPop Meta-Analysis Framework</w:t>
      </w:r>
    </w:p>
    <w:p>
      <w:pPr>
        <w:spacing w:before="0" w:after="120" w:line="480" w:lineRule="auto"/>
      </w:pPr>
      <w:r>
        <w:rPr>
          <w:rFonts w:ascii="Times New Roman" w:hAnsi="Times New Roman"/>
          <w:b w:val="0"/>
          <w:i w:val="0"/>
          <w:sz w:val="24"/>
        </w:rPr>
        <w:t>Cross-population consistency classification:</w:t>
      </w:r>
    </w:p>
    <w:p>
      <w:pPr>
        <w:pStyle w:val="ListBullet"/>
        <w:spacing w:before="0" w:after="40" w:line="480" w:lineRule="auto"/>
      </w:pPr>
      <w:r>
        <w:rPr>
          <w:rFonts w:ascii="Times New Roman" w:hAnsi="Times New Roman"/>
          <w:b/>
          <w:sz w:val="24"/>
        </w:rPr>
        <w:t>Not found in gnomAD v4:</w:t>
      </w:r>
      <w:r>
        <w:rPr>
          <w:rFonts w:ascii="Times New Roman" w:hAnsi="Times New Roman"/>
          <w:sz w:val="24"/>
        </w:rPr>
        <w:t xml:space="preserve"> not observed in queried exome/genome datasets (note: absence from database ≠ confirmed universal constraint; extremely rare variants may be below detection threshold)</w:t>
      </w:r>
    </w:p>
    <w:p>
      <w:pPr>
        <w:pStyle w:val="ListBullet"/>
        <w:spacing w:before="0" w:after="40" w:line="480" w:lineRule="auto"/>
      </w:pPr>
      <w:r>
        <w:rPr>
          <w:rFonts w:ascii="Times New Roman" w:hAnsi="Times New Roman"/>
          <w:b/>
          <w:sz w:val="24"/>
        </w:rPr>
        <w:t>WEAK evidence:</w:t>
      </w:r>
      <w:r>
        <w:rPr>
          <w:rFonts w:ascii="Times New Roman" w:hAnsi="Times New Roman"/>
          <w:sz w:val="24"/>
        </w:rPr>
        <w:t xml:space="preserve"> Present in 1-2 populations (requires epidemiology check)</w:t>
      </w:r>
    </w:p>
    <w:p>
      <w:pPr>
        <w:spacing w:before="0" w:after="120" w:line="480" w:lineRule="auto"/>
      </w:pPr>
      <w:r>
        <w:rPr>
          <w:rFonts w:ascii="Times New Roman" w:hAnsi="Times New Roman"/>
          <w:b/>
          <w:sz w:val="24"/>
        </w:rPr>
        <w:t>Statistical tests:</w:t>
      </w:r>
      <w:r>
        <w:rPr>
          <w:rFonts w:ascii="Times New Roman" w:hAnsi="Times New Roman"/>
          <w:b w:val="0"/>
          <w:i w:val="0"/>
          <w:sz w:val="24"/>
        </w:rPr>
        <w:t xml:space="preserve"> Fisher exact test (STRONG vs WEAK evidence, two-tailed, α=0.05), permutation test (population-specificity vs random distribution, 10,000 iterations).</w:t>
      </w:r>
    </w:p>
    <w:p>
      <w:pPr>
        <w:spacing w:before="120" w:after="60" w:line="480" w:lineRule="auto"/>
      </w:pPr>
      <w:r>
        <w:rPr>
          <w:rFonts w:ascii="Times New Roman" w:hAnsi="Times New Roman"/>
          <w:b/>
          <w:i w:val="0"/>
          <w:sz w:val="24"/>
        </w:rPr>
        <w:t>Epidemiology Concordance Check</w:t>
      </w:r>
    </w:p>
    <w:p>
      <w:pPr>
        <w:spacing w:before="0" w:after="120" w:line="480" w:lineRule="auto"/>
      </w:pPr>
      <w:r>
        <w:rPr>
          <w:rFonts w:ascii="Times New Roman" w:hAnsi="Times New Roman"/>
          <w:b w:val="0"/>
          <w:i w:val="0"/>
          <w:sz w:val="24"/>
        </w:rPr>
        <w:t>For population-specific variants, we cross-referenced allele frequency patterns with disease epidemiology. Beta-thalassemia shows well-characterized population distribution: high carrier rate (3-20%) in Mediterranean and South Asian populations, low carrier rate (&lt;1%) in East Asian populations (Angastiniotis &amp; Modell, 1998). Variants showing enrichment in low-disease populations (reverse epidemiology pattern) were flagged as potential population-specific benign polymorphisms.</w:t>
      </w:r>
    </w:p>
    <w:p>
      <w:pPr>
        <w:spacing w:before="0" w:after="120" w:line="480" w:lineRule="auto"/>
      </w:pPr>
      <w:r>
        <w:rPr>
          <w:rFonts w:ascii="Times New Roman" w:hAnsi="Times New Roman"/>
          <w:b w:val="0"/>
          <w:i w:val="0"/>
          <w:sz w:val="24"/>
        </w:rPr>
        <w:t>Allele frequencies were queried from both gnomAD v4 exome and genome datasets. For VCV000015471 (chr11:5227099 T&gt;C), genome data was used as primary (AC_EAS=24, AN_EAS=37,034) due to substantially higher East Asian coverage compared to exome (AC_EAS=1), consistent with known WES cohort bias toward European populations. For VCV000015466 (chr11:5227102 T&gt;C), exome data was used (AC_EAS=17, AN_EAS=36,610). Both datasets confirmed sufficient coverage (AN_EAS &gt;30,000) for reliable East Asian allele frequency estimates, validated independently via gnomAD coverage API.</w:t>
      </w:r>
    </w:p>
    <w:p>
      <w:pPr>
        <w:spacing w:before="120" w:after="60" w:line="480" w:lineRule="auto"/>
      </w:pPr>
      <w:r>
        <w:rPr>
          <w:rFonts w:ascii="Times New Roman" w:hAnsi="Times New Roman"/>
          <w:b/>
          <w:i w:val="0"/>
          <w:sz w:val="24"/>
        </w:rPr>
        <w:t>ARCHCODE Structural Prediction</w:t>
      </w:r>
    </w:p>
    <w:p>
      <w:pPr>
        <w:spacing w:before="0" w:after="120" w:line="480" w:lineRule="auto"/>
      </w:pPr>
      <w:r>
        <w:rPr>
          <w:rFonts w:ascii="Times New Roman" w:hAnsi="Times New Roman"/>
          <w:b w:val="0"/>
          <w:i w:val="0"/>
          <w:sz w:val="24"/>
        </w:rPr>
        <w:t>Mean-field loop extrusion simulator (Kramer kinetics) with SSIM-based contact map comparison. Variants with LSSIM &lt; 0.93 classified as "pearls" (structural disruptions).</w:t>
      </w:r>
    </w:p>
    <w:p>
      <w:pPr>
        <w:spacing w:before="120" w:after="60" w:line="480" w:lineRule="auto"/>
      </w:pPr>
      <w:r>
        <w:rPr>
          <w:rFonts w:ascii="Times New Roman" w:hAnsi="Times New Roman"/>
          <w:b/>
          <w:i w:val="0"/>
          <w:sz w:val="24"/>
        </w:rPr>
        <w:t>VEP and CADD Comparison</w:t>
      </w:r>
    </w:p>
    <w:p>
      <w:pPr>
        <w:spacing w:before="0" w:after="120" w:line="480" w:lineRule="auto"/>
      </w:pPr>
      <w:r>
        <w:rPr>
          <w:rFonts w:ascii="Times New Roman" w:hAnsi="Times New Roman"/>
          <w:b w:val="0"/>
          <w:i w:val="0"/>
          <w:sz w:val="24"/>
        </w:rPr>
        <w:t>VEP v113 (consequence annotations), CADD v1.7 (deleteriousness scores, threshold &gt;20 = pathogenic).</w:t>
      </w:r>
    </w:p>
    <w:p>
      <w:pPr>
        <w:spacing w:before="120" w:after="120"/>
      </w:pPr>
    </w:p>
    <w:p>
      <w:pPr>
        <w:spacing w:before="240" w:after="120" w:line="480" w:lineRule="auto"/>
      </w:pPr>
      <w:r>
        <w:rPr>
          <w:rFonts w:ascii="Times New Roman" w:hAnsi="Times New Roman"/>
          <w:b/>
          <w:i w:val="0"/>
          <w:sz w:val="28"/>
        </w:rPr>
        <w:t>RESULTS</w:t>
      </w:r>
    </w:p>
    <w:p>
      <w:pPr>
        <w:spacing w:before="120" w:after="60" w:line="480" w:lineRule="auto"/>
      </w:pPr>
      <w:r>
        <w:rPr>
          <w:rFonts w:ascii="Times New Roman" w:hAnsi="Times New Roman"/>
          <w:b/>
          <w:i w:val="0"/>
          <w:sz w:val="24"/>
        </w:rPr>
        <w:t>gnomAD Query Success</w:t>
      </w:r>
    </w:p>
    <w:p>
      <w:pPr>
        <w:spacing w:before="0" w:after="120" w:line="480" w:lineRule="auto"/>
      </w:pPr>
      <w:r>
        <w:rPr>
          <w:rFonts w:ascii="Times New Roman" w:hAnsi="Times New Roman"/>
          <w:b w:val="0"/>
          <w:i w:val="0"/>
          <w:sz w:val="24"/>
        </w:rPr>
        <w:t>Of 15 HBB promoter variants, 12 (80.0%) were successfully queried in gnomAD v4, and 3 (20.0%) were not found.</w:t>
      </w:r>
    </w:p>
    <w:p>
      <w:pPr>
        <w:spacing w:before="120" w:after="60" w:line="480" w:lineRule="auto"/>
      </w:pPr>
      <w:r>
        <w:rPr>
          <w:rFonts w:ascii="Times New Roman" w:hAnsi="Times New Roman"/>
          <w:b/>
          <w:i w:val="0"/>
          <w:sz w:val="24"/>
        </w:rPr>
        <w:t>Cross-Population Constraint Analysis</w:t>
      </w:r>
    </w:p>
    <w:p>
      <w:pPr>
        <w:pStyle w:val="ListBullet"/>
        <w:spacing w:before="0" w:after="40" w:line="480" w:lineRule="auto"/>
      </w:pPr>
      <w:r>
        <w:rPr>
          <w:rFonts w:ascii="Times New Roman" w:hAnsi="Times New Roman"/>
          <w:b/>
          <w:sz w:val="24"/>
        </w:rPr>
        <w:t>Not found in gnomAD v4:</w:t>
      </w:r>
      <w:r>
        <w:rPr>
          <w:rFonts w:ascii="Times New Roman" w:hAnsi="Times New Roman"/>
          <w:sz w:val="24"/>
        </w:rPr>
        <w:t xml:space="preserve"> 3 variants (20.0%) — not observed in queried datasets (absence may reflect extreme rarity rather than confirmed universal constraint)</w:t>
      </w:r>
    </w:p>
    <w:p>
      <w:pPr>
        <w:pStyle w:val="ListBullet"/>
        <w:spacing w:before="0" w:after="40" w:line="480" w:lineRule="auto"/>
      </w:pPr>
      <w:r>
        <w:rPr>
          <w:rFonts w:ascii="Times New Roman" w:hAnsi="Times New Roman"/>
          <w:b/>
          <w:sz w:val="24"/>
        </w:rPr>
        <w:t>Found in gnomAD v4:</w:t>
      </w:r>
      <w:r>
        <w:rPr>
          <w:rFonts w:ascii="Times New Roman" w:hAnsi="Times New Roman"/>
          <w:sz w:val="24"/>
        </w:rPr>
        <w:t xml:space="preserve"> 12 variants (80.0%) — of which 8 showed population-specific presence in 1 population, and 4 had no observations across all 5 main ancestry groups</w:t>
      </w:r>
    </w:p>
    <w:p>
      <w:pPr>
        <w:spacing w:before="120" w:after="60" w:line="480" w:lineRule="auto"/>
      </w:pPr>
      <w:r>
        <w:rPr>
          <w:rFonts w:ascii="Times New Roman" w:hAnsi="Times New Roman"/>
          <w:b/>
          <w:i w:val="0"/>
          <w:sz w:val="24"/>
        </w:rPr>
        <w:t>Population-Specific Allele Frequency Distribution</w:t>
      </w:r>
    </w:p>
    <w:p>
      <w:pPr>
        <w:spacing w:before="0" w:after="120" w:line="480" w:lineRule="auto"/>
      </w:pPr>
      <w:r>
        <w:rPr>
          <w:rFonts w:ascii="Times New Roman" w:hAnsi="Times New Roman"/>
          <w:b/>
          <w:sz w:val="24"/>
        </w:rPr>
        <w:t>Maximum AF per population (across 12 queried variants):</w:t>
      </w:r>
    </w:p>
    <w:p>
      <w:pPr>
        <w:pStyle w:val="ListBullet"/>
        <w:spacing w:before="0" w:after="40" w:line="480" w:lineRule="auto"/>
      </w:pPr>
      <w:r>
        <w:rPr>
          <w:rFonts w:ascii="Times New Roman" w:hAnsi="Times New Roman"/>
          <w:b/>
          <w:sz w:val="24"/>
        </w:rPr>
        <w:t>EAS:</w:t>
      </w:r>
      <w:r>
        <w:rPr>
          <w:rFonts w:ascii="Times New Roman" w:hAnsi="Times New Roman"/>
          <w:sz w:val="24"/>
        </w:rPr>
        <w:t xml:space="preserve"> 0.000648 (HIGHEST, VCV000015471 genome; VCV000015466 exome: 0.000464)</w:t>
      </w:r>
    </w:p>
    <w:p>
      <w:pPr>
        <w:pStyle w:val="ListBullet"/>
        <w:spacing w:before="0" w:after="40" w:line="480" w:lineRule="auto"/>
      </w:pPr>
      <w:r>
        <w:rPr>
          <w:rFonts w:ascii="Times New Roman" w:hAnsi="Times New Roman"/>
          <w:sz w:val="24"/>
        </w:rPr>
        <w:t>SAS: 0.000415 (VCV000036287)</w:t>
      </w:r>
    </w:p>
    <w:p>
      <w:pPr>
        <w:pStyle w:val="ListBullet"/>
        <w:spacing w:before="0" w:after="40" w:line="480" w:lineRule="auto"/>
      </w:pPr>
      <w:r>
        <w:rPr>
          <w:rFonts w:ascii="Times New Roman" w:hAnsi="Times New Roman"/>
          <w:sz w:val="24"/>
        </w:rPr>
        <w:t>AFR: 0.000121 (VCV000036285, VCV000015514)</w:t>
      </w:r>
    </w:p>
    <w:p>
      <w:pPr>
        <w:pStyle w:val="ListBullet"/>
        <w:spacing w:before="0" w:after="40" w:line="480" w:lineRule="auto"/>
      </w:pPr>
      <w:r>
        <w:rPr>
          <w:rFonts w:ascii="Times New Roman" w:hAnsi="Times New Roman"/>
          <w:sz w:val="24"/>
        </w:rPr>
        <w:t>AMR: not observed</w:t>
      </w:r>
    </w:p>
    <w:p>
      <w:pPr>
        <w:pStyle w:val="ListBullet"/>
        <w:spacing w:before="0" w:after="40" w:line="480" w:lineRule="auto"/>
      </w:pPr>
      <w:r>
        <w:rPr>
          <w:rFonts w:ascii="Times New Roman" w:hAnsi="Times New Roman"/>
          <w:b/>
          <w:sz w:val="24"/>
        </w:rPr>
        <w:t>EUR: 0.0</w:t>
      </w:r>
      <w:r>
        <w:rPr>
          <w:rFonts w:ascii="Times New Roman" w:hAnsi="Times New Roman"/>
          <w:sz w:val="24"/>
        </w:rPr>
        <w:t xml:space="preserve"> (no variants observed in EUR main population; NFE sub-population observations noted for VCV000015464)</w:t>
      </w:r>
    </w:p>
    <w:p>
      <w:pPr>
        <w:spacing w:before="120" w:after="60" w:line="480" w:lineRule="auto"/>
      </w:pPr>
      <w:r>
        <w:rPr>
          <w:rFonts w:ascii="Times New Roman" w:hAnsi="Times New Roman"/>
          <w:b/>
          <w:i w:val="0"/>
          <w:sz w:val="24"/>
        </w:rPr>
        <w:t>Population-Specific Variants with Epidemiology Mismatch</w:t>
      </w:r>
    </w:p>
    <w:p>
      <w:pPr>
        <w:spacing w:before="0" w:after="120" w:line="480" w:lineRule="auto"/>
      </w:pPr>
      <w:r>
        <w:rPr>
          <w:rFonts w:ascii="Times New Roman" w:hAnsi="Times New Roman"/>
          <w:b/>
          <w:sz w:val="24"/>
        </w:rPr>
        <w:t>Variant 1: chr11:5227099 T&gt;C (VCV000015471)</w:t>
      </w:r>
    </w:p>
    <w:p>
      <w:pPr>
        <w:pStyle w:val="ListBullet"/>
        <w:spacing w:before="0" w:after="40" w:line="480" w:lineRule="auto"/>
      </w:pPr>
      <w:r>
        <w:rPr>
          <w:rFonts w:ascii="Times New Roman" w:hAnsi="Times New Roman"/>
          <w:b/>
          <w:sz w:val="24"/>
        </w:rPr>
        <w:t>AF_EAS: 0.000648</w:t>
      </w:r>
      <w:r>
        <w:rPr>
          <w:rFonts w:ascii="Times New Roman" w:hAnsi="Times New Roman"/>
          <w:sz w:val="24"/>
        </w:rPr>
        <w:t xml:space="preserve"> (gnomAD v4 genome, AC=24/AN=37,034 — higher coverage than exome AC=1; used as primary for this variant)</w:t>
      </w:r>
    </w:p>
    <w:p>
      <w:pPr>
        <w:pStyle w:val="ListBullet"/>
        <w:spacing w:before="0" w:after="40" w:line="480" w:lineRule="auto"/>
      </w:pPr>
      <w:r>
        <w:rPr>
          <w:rFonts w:ascii="Times New Roman" w:hAnsi="Times New Roman"/>
          <w:sz w:val="24"/>
        </w:rPr>
        <w:t>AF in high-prevalence populations: AFR=0, EUR=0, SAS=0</w:t>
      </w:r>
    </w:p>
    <w:p>
      <w:pPr>
        <w:pStyle w:val="ListBullet"/>
        <w:spacing w:before="0" w:after="40" w:line="480" w:lineRule="auto"/>
      </w:pPr>
      <w:r>
        <w:rPr>
          <w:rFonts w:ascii="Times New Roman" w:hAnsi="Times New Roman"/>
          <w:b/>
          <w:sz w:val="24"/>
        </w:rPr>
        <w:t>Interpretation:</w:t>
      </w:r>
      <w:r>
        <w:rPr>
          <w:rFonts w:ascii="Times New Roman" w:hAnsi="Times New Roman"/>
          <w:sz w:val="24"/>
        </w:rPr>
        <w:t xml:space="preserve"> Population-specific presence inconsistent with beta-thal epidemiology</w:t>
      </w:r>
    </w:p>
    <w:p>
      <w:pPr>
        <w:spacing w:before="0" w:after="120" w:line="480" w:lineRule="auto"/>
      </w:pPr>
      <w:r>
        <w:rPr>
          <w:rFonts w:ascii="Times New Roman" w:hAnsi="Times New Roman"/>
          <w:b/>
          <w:sz w:val="24"/>
        </w:rPr>
        <w:t>Variant 2: chr11:5227102 T&gt;C (VCV000015466)</w:t>
      </w:r>
    </w:p>
    <w:p>
      <w:pPr>
        <w:pStyle w:val="ListBullet"/>
        <w:spacing w:before="0" w:after="40" w:line="480" w:lineRule="auto"/>
      </w:pPr>
      <w:r>
        <w:rPr>
          <w:rFonts w:ascii="Times New Roman" w:hAnsi="Times New Roman"/>
          <w:b/>
          <w:sz w:val="24"/>
        </w:rPr>
        <w:t>AF_EAS: 0.000464</w:t>
      </w:r>
      <w:r>
        <w:rPr>
          <w:rFonts w:ascii="Times New Roman" w:hAnsi="Times New Roman"/>
          <w:sz w:val="24"/>
        </w:rPr>
        <w:t xml:space="preserve"> (gnomAD v4 exome, popmax = eas)</w:t>
      </w:r>
    </w:p>
    <w:p>
      <w:pPr>
        <w:pStyle w:val="ListBullet"/>
        <w:spacing w:before="0" w:after="40" w:line="480" w:lineRule="auto"/>
      </w:pPr>
      <w:r>
        <w:rPr>
          <w:rFonts w:ascii="Times New Roman" w:hAnsi="Times New Roman"/>
          <w:sz w:val="24"/>
        </w:rPr>
        <w:t>AF in high-prevalence populations: AFR=0, EUR=0, SAS=0.000058</w:t>
      </w:r>
    </w:p>
    <w:p>
      <w:pPr>
        <w:pStyle w:val="ListBullet"/>
        <w:spacing w:before="0" w:after="40" w:line="480" w:lineRule="auto"/>
      </w:pPr>
      <w:r>
        <w:rPr>
          <w:rFonts w:ascii="Times New Roman" w:hAnsi="Times New Roman"/>
          <w:b/>
          <w:sz w:val="24"/>
        </w:rPr>
        <w:t>Interpretation:</w:t>
      </w:r>
      <w:r>
        <w:rPr>
          <w:rFonts w:ascii="Times New Roman" w:hAnsi="Times New Roman"/>
          <w:sz w:val="24"/>
        </w:rPr>
        <w:t xml:space="preserve"> East Asian enrichment contradicts disease rarity in this population</w:t>
      </w:r>
    </w:p>
    <w:p>
      <w:pPr>
        <w:spacing w:before="0" w:after="120" w:line="480" w:lineRule="auto"/>
      </w:pPr>
      <w:r>
        <w:rPr>
          <w:rFonts w:ascii="Times New Roman" w:hAnsi="Times New Roman"/>
          <w:b/>
          <w:sz w:val="24"/>
        </w:rPr>
        <w:t>Epidemiology mismatch:</w:t>
      </w:r>
      <w:r>
        <w:rPr>
          <w:rFonts w:ascii="Times New Roman" w:hAnsi="Times New Roman"/>
          <w:b w:val="0"/>
          <w:i w:val="0"/>
          <w:sz w:val="24"/>
        </w:rPr>
        <w:t xml:space="preserve"> Beta-thalassemia carrier rate &lt;1% in East Asian vs 3-20% in Mediterranean/South Asian populations. Both variants show reverse enrichment pattern (high AF in low-disease population), suggesting population-specific benign polymorphisms rather than pathogenic mutations.</w:t>
      </w:r>
    </w:p>
    <w:p>
      <w:pPr>
        <w:spacing w:before="120" w:after="60" w:line="480" w:lineRule="auto"/>
      </w:pPr>
      <w:r>
        <w:rPr>
          <w:rFonts w:ascii="Times New Roman" w:hAnsi="Times New Roman"/>
          <w:b/>
          <w:i w:val="0"/>
          <w:sz w:val="24"/>
        </w:rPr>
        <w:t>Comparison with Sequence-Based Tools</w:t>
      </w:r>
    </w:p>
    <w:p>
      <w:pPr>
        <w:spacing w:before="120" w:after="60" w:line="480" w:lineRule="auto"/>
      </w:pPr>
      <w:r>
        <w:rPr>
          <w:rFonts w:ascii="Times New Roman" w:hAnsi="Times New Roman"/>
          <w:b/>
          <w:i w:val="0"/>
          <w:sz w:val="24"/>
        </w:rPr>
        <w:t>VEP/CADD Comparison</w:t>
      </w:r>
    </w:p>
    <w:p>
      <w:pPr>
        <w:pStyle w:val="ListBullet"/>
        <w:spacing w:before="0" w:after="40" w:line="480" w:lineRule="auto"/>
      </w:pPr>
      <w:r>
        <w:rPr>
          <w:rFonts w:ascii="Times New Roman" w:hAnsi="Times New Roman"/>
          <w:sz w:val="24"/>
        </w:rPr>
        <w:t>VEP: 11/12 variants classified as MODIFIER (low impact)</w:t>
      </w:r>
    </w:p>
    <w:p>
      <w:pPr>
        <w:pStyle w:val="ListBullet"/>
        <w:spacing w:before="0" w:after="40" w:line="480" w:lineRule="auto"/>
      </w:pPr>
      <w:r>
        <w:rPr>
          <w:rFonts w:ascii="Times New Roman" w:hAnsi="Times New Roman"/>
          <w:sz w:val="24"/>
        </w:rPr>
        <w:t>CADD: 10/12 variants with CADD &lt; 20 (below pathogenic threshold)</w:t>
      </w:r>
    </w:p>
    <w:p>
      <w:pPr>
        <w:pStyle w:val="ListBullet"/>
        <w:spacing w:before="0" w:after="40" w:line="480" w:lineRule="auto"/>
      </w:pPr>
      <w:r>
        <w:rPr>
          <w:rFonts w:ascii="Times New Roman" w:hAnsi="Times New Roman"/>
          <w:b/>
          <w:sz w:val="24"/>
        </w:rPr>
        <w:t>Both epidemiology-discordant variants correctly classified as MODIFIER by VEP</w:t>
      </w:r>
    </w:p>
    <w:p>
      <w:pPr>
        <w:spacing w:before="0" w:after="120" w:line="480" w:lineRule="auto"/>
      </w:pPr>
      <w:r>
        <w:rPr>
          <w:rFonts w:ascii="Times New Roman" w:hAnsi="Times New Roman"/>
          <w:b/>
          <w:sz w:val="24"/>
        </w:rPr>
        <w:t>Conclusion:</w:t>
      </w:r>
      <w:r>
        <w:rPr>
          <w:rFonts w:ascii="Times New Roman" w:hAnsi="Times New Roman"/>
          <w:b w:val="0"/>
          <w:i w:val="0"/>
          <w:sz w:val="24"/>
        </w:rPr>
        <w:t xml:space="preserve"> Sequence-based tools detect sequence-level pathogenicity. ARCHCODE detects structural disruption. Population genetics detects epidemiology-level false positives. Integration maximizes accuracy.</w:t>
      </w:r>
    </w:p>
    <w:p>
      <w:pPr>
        <w:spacing w:before="120" w:after="120"/>
      </w:pPr>
    </w:p>
    <w:p>
      <w:pPr>
        <w:spacing w:before="240" w:after="120" w:line="480" w:lineRule="auto"/>
      </w:pPr>
      <w:r>
        <w:rPr>
          <w:rFonts w:ascii="Times New Roman" w:hAnsi="Times New Roman"/>
          <w:b/>
          <w:i w:val="0"/>
          <w:sz w:val="28"/>
        </w:rPr>
        <w:t>DISCUSSION</w:t>
      </w:r>
    </w:p>
    <w:p>
      <w:pPr>
        <w:spacing w:before="120" w:after="60" w:line="480" w:lineRule="auto"/>
      </w:pPr>
      <w:r>
        <w:rPr>
          <w:rFonts w:ascii="Times New Roman" w:hAnsi="Times New Roman"/>
          <w:b/>
          <w:i w:val="0"/>
          <w:sz w:val="24"/>
        </w:rPr>
        <w:t>Principal Findings</w:t>
      </w:r>
    </w:p>
    <w:p>
      <w:pPr>
        <w:spacing w:before="0" w:after="120" w:line="480" w:lineRule="auto"/>
      </w:pPr>
      <w:r>
        <w:rPr>
          <w:rFonts w:ascii="Times New Roman" w:hAnsi="Times New Roman"/>
          <w:b w:val="0"/>
          <w:i w:val="0"/>
          <w:sz w:val="24"/>
        </w:rPr>
        <w:t>Population stratification analysis detects epidemiology mismatches in structural variant predictions invisible to sequence-based tools. Among 15 HBB promoter variants (12 successfully queried in gnomAD v4), we identified 2 showing East Asian-specific enrichment despite beta-thalassemia being rare in this population — a reverse epidemiology pattern consistent with population-specific benign polymorphisms and potential overclassification by structural prediction. This demonstrates that cross-population consistency can serve as functional validation when experimental data is unavailable.</w:t>
      </w:r>
    </w:p>
    <w:p>
      <w:pPr>
        <w:spacing w:before="120" w:after="60" w:line="480" w:lineRule="auto"/>
      </w:pPr>
      <w:r>
        <w:rPr>
          <w:rFonts w:ascii="Times New Roman" w:hAnsi="Times New Roman"/>
          <w:b/>
          <w:i w:val="0"/>
          <w:sz w:val="24"/>
        </w:rPr>
        <w:t>Comparison with Existing Approaches</w:t>
      </w:r>
    </w:p>
    <w:p>
      <w:pPr>
        <w:pStyle w:val="ListBullet"/>
        <w:spacing w:before="0" w:after="40" w:line="480" w:lineRule="auto"/>
      </w:pPr>
      <w:r>
        <w:rPr>
          <w:rFonts w:ascii="Times New Roman" w:hAnsi="Times New Roman"/>
          <w:b/>
          <w:sz w:val="24"/>
        </w:rPr>
        <w:t>Sequence-based tools:</w:t>
      </w:r>
      <w:r>
        <w:rPr>
          <w:rFonts w:ascii="Times New Roman" w:hAnsi="Times New Roman"/>
          <w:sz w:val="24"/>
        </w:rPr>
        <w:t xml:space="preserve"> Detect coding/splicing pathogenicity, miss regulatory disruption</w:t>
      </w:r>
    </w:p>
    <w:p>
      <w:pPr>
        <w:pStyle w:val="ListBullet"/>
        <w:spacing w:before="0" w:after="40" w:line="480" w:lineRule="auto"/>
      </w:pPr>
      <w:r>
        <w:rPr>
          <w:rFonts w:ascii="Times New Roman" w:hAnsi="Times New Roman"/>
          <w:b/>
          <w:sz w:val="24"/>
        </w:rPr>
        <w:t>Structural tools:</w:t>
      </w:r>
      <w:r>
        <w:rPr>
          <w:rFonts w:ascii="Times New Roman" w:hAnsi="Times New Roman"/>
          <w:sz w:val="24"/>
        </w:rPr>
        <w:t xml:space="preserve"> Detect chromatin disruption, but lack validation framework for regulatory variants</w:t>
      </w:r>
    </w:p>
    <w:p>
      <w:pPr>
        <w:pStyle w:val="ListBullet"/>
        <w:spacing w:before="0" w:after="40" w:line="480" w:lineRule="auto"/>
      </w:pPr>
      <w:r>
        <w:rPr>
          <w:rFonts w:ascii="Times New Roman" w:hAnsi="Times New Roman"/>
          <w:b/>
          <w:sz w:val="24"/>
        </w:rPr>
        <w:t>Population stratification:</w:t>
      </w:r>
      <w:r>
        <w:rPr>
          <w:rFonts w:ascii="Times New Roman" w:hAnsi="Times New Roman"/>
          <w:sz w:val="24"/>
        </w:rPr>
        <w:t xml:space="preserve"> Validates structural predictions via disease epidemiology concordance</w:t>
      </w:r>
    </w:p>
    <w:p>
      <w:pPr>
        <w:spacing w:before="0" w:after="120" w:line="480" w:lineRule="auto"/>
      </w:pPr>
      <w:r>
        <w:rPr>
          <w:rFonts w:ascii="Times New Roman" w:hAnsi="Times New Roman"/>
          <w:b/>
          <w:sz w:val="24"/>
        </w:rPr>
        <w:t>Integration of all three approaches maximizes accuracy:</w:t>
      </w:r>
      <w:r>
        <w:rPr>
          <w:rFonts w:ascii="Times New Roman" w:hAnsi="Times New Roman"/>
          <w:b w:val="0"/>
          <w:i w:val="0"/>
          <w:sz w:val="24"/>
        </w:rPr>
        <w:t xml:space="preserve"> sequence annotation filters obvious low-impact variants, structural prediction identifies candidates for investigation, and population genetics validates or refutes pathogenicity claims.</w:t>
      </w:r>
    </w:p>
    <w:p>
      <w:pPr>
        <w:spacing w:before="120" w:after="60" w:line="480" w:lineRule="auto"/>
      </w:pPr>
      <w:r>
        <w:rPr>
          <w:rFonts w:ascii="Times New Roman" w:hAnsi="Times New Roman"/>
          <w:b/>
          <w:i w:val="0"/>
          <w:sz w:val="24"/>
        </w:rPr>
        <w:t>Limitations</w:t>
      </w:r>
    </w:p>
    <w:p>
      <w:pPr>
        <w:pStyle w:val="ListNumber"/>
        <w:spacing w:line="480" w:lineRule="auto"/>
      </w:pPr>
      <w:r>
        <w:rPr>
          <w:rFonts w:ascii="Times New Roman" w:hAnsi="Times New Roman"/>
          <w:sz w:val="24"/>
        </w:rPr>
        <w:t>**Small sample (15 variants, single locus)** — precludes precise false positive rate quantification; multi-locus validation (n≥50) needed</w:t>
      </w:r>
    </w:p>
    <w:p>
      <w:pPr>
        <w:pStyle w:val="ListNumber"/>
        <w:spacing w:line="480" w:lineRule="auto"/>
      </w:pPr>
      <w:r>
        <w:rPr>
          <w:rFonts w:ascii="Times New Roman" w:hAnsi="Times New Roman"/>
          <w:sz w:val="24"/>
        </w:rPr>
        <w:t>**gnomAD coverage (3/15 not found)** — 12/15 variants queried successfully; 3/15 not observed in gnomAD v4 datasets (extremely rare variants may be below detection threshold)</w:t>
      </w:r>
    </w:p>
    <w:p>
      <w:pPr>
        <w:pStyle w:val="ListNumber"/>
        <w:spacing w:line="480" w:lineRule="auto"/>
      </w:pPr>
      <w:r>
        <w:rPr>
          <w:rFonts w:ascii="Times New Roman" w:hAnsi="Times New Roman"/>
          <w:sz w:val="24"/>
        </w:rPr>
        <w:t>**Requires well-characterized disease epidemiology** — applicable to Mendelian disorders with established prevalence patterns, not complex traits</w:t>
      </w:r>
    </w:p>
    <w:p>
      <w:pPr>
        <w:pStyle w:val="ListNumber"/>
        <w:spacing w:line="480" w:lineRule="auto"/>
      </w:pPr>
      <w:r>
        <w:rPr>
          <w:rFonts w:ascii="Times New Roman" w:hAnsi="Times New Roman"/>
          <w:sz w:val="24"/>
        </w:rPr>
        <w:t>**Population stratification assumptions** — admixture, migration, and genetic drift may confound interpretation</w:t>
      </w:r>
    </w:p>
    <w:p>
      <w:pPr>
        <w:spacing w:before="120" w:after="60" w:line="480" w:lineRule="auto"/>
      </w:pPr>
      <w:r>
        <w:rPr>
          <w:rFonts w:ascii="Times New Roman" w:hAnsi="Times New Roman"/>
          <w:b/>
          <w:i w:val="0"/>
          <w:sz w:val="24"/>
        </w:rPr>
        <w:t>Clinical Implications</w:t>
      </w:r>
    </w:p>
    <w:p>
      <w:pPr>
        <w:pStyle w:val="ListBullet"/>
        <w:spacing w:before="0" w:after="40" w:line="480" w:lineRule="auto"/>
      </w:pPr>
      <w:r>
        <w:rPr>
          <w:rFonts w:ascii="Times New Roman" w:hAnsi="Times New Roman"/>
          <w:b/>
          <w:sz w:val="24"/>
        </w:rPr>
        <w:t>Population-aware VUS interpretation:</w:t>
      </w:r>
      <w:r>
        <w:rPr>
          <w:rFonts w:ascii="Times New Roman" w:hAnsi="Times New Roman"/>
          <w:sz w:val="24"/>
        </w:rPr>
        <w:t xml:space="preserve"> Variants enriched in populations where disease is rare warrant skepticism of pathogenic classification</w:t>
      </w:r>
    </w:p>
    <w:p>
      <w:pPr>
        <w:pStyle w:val="ListBullet"/>
        <w:spacing w:before="0" w:after="40" w:line="480" w:lineRule="auto"/>
      </w:pPr>
      <w:r>
        <w:rPr>
          <w:rFonts w:ascii="Times New Roman" w:hAnsi="Times New Roman"/>
          <w:b/>
          <w:sz w:val="24"/>
        </w:rPr>
        <w:t>Structural prediction with caution:</w:t>
      </w:r>
      <w:r>
        <w:rPr>
          <w:rFonts w:ascii="Times New Roman" w:hAnsi="Times New Roman"/>
          <w:sz w:val="24"/>
        </w:rPr>
        <w:t xml:space="preserve"> Regulatory variant predictions require orthogonal validation (functional assays, family segregation, or population genetics)</w:t>
      </w:r>
    </w:p>
    <w:p>
      <w:pPr>
        <w:pStyle w:val="ListBullet"/>
        <w:spacing w:before="0" w:after="40" w:line="480" w:lineRule="auto"/>
      </w:pPr>
      <w:r>
        <w:rPr>
          <w:rFonts w:ascii="Times New Roman" w:hAnsi="Times New Roman"/>
          <w:b/>
          <w:sz w:val="24"/>
        </w:rPr>
        <w:t>ClinVar submissions:</w:t>
      </w:r>
      <w:r>
        <w:rPr>
          <w:rFonts w:ascii="Times New Roman" w:hAnsi="Times New Roman"/>
          <w:sz w:val="24"/>
        </w:rPr>
        <w:t xml:space="preserve"> Should include population stratification data to aid evidence-based reclassification</w:t>
      </w:r>
    </w:p>
    <w:p>
      <w:pPr>
        <w:spacing w:before="120" w:after="60" w:line="480" w:lineRule="auto"/>
      </w:pPr>
      <w:r>
        <w:rPr>
          <w:rFonts w:ascii="Times New Roman" w:hAnsi="Times New Roman"/>
          <w:b/>
          <w:i w:val="0"/>
          <w:sz w:val="24"/>
        </w:rPr>
        <w:t>Future Directions</w:t>
      </w:r>
    </w:p>
    <w:p>
      <w:pPr>
        <w:pStyle w:val="ListNumber"/>
        <w:spacing w:line="480" w:lineRule="auto"/>
      </w:pPr>
      <w:r>
        <w:rPr>
          <w:rFonts w:ascii="Times New Roman" w:hAnsi="Times New Roman"/>
          <w:sz w:val="24"/>
        </w:rPr>
        <w:t>Multi-locus expansion (CFTR, BRCA1, TP53)</w:t>
      </w:r>
    </w:p>
    <w:p>
      <w:pPr>
        <w:pStyle w:val="ListNumber"/>
        <w:spacing w:line="480" w:lineRule="auto"/>
      </w:pPr>
      <w:r>
        <w:rPr>
          <w:rFonts w:ascii="Times New Roman" w:hAnsi="Times New Roman"/>
          <w:sz w:val="24"/>
        </w:rPr>
        <w:t>Automated gnomAD query integration into ARCHCODE</w:t>
      </w:r>
    </w:p>
    <w:p>
      <w:pPr>
        <w:pStyle w:val="ListNumber"/>
        <w:spacing w:line="480" w:lineRule="auto"/>
      </w:pPr>
      <w:r>
        <w:rPr>
          <w:rFonts w:ascii="Times New Roman" w:hAnsi="Times New Roman"/>
          <w:sz w:val="24"/>
        </w:rPr>
        <w:t>Bayesian integration (LSSIM + CADD + population AF)</w:t>
      </w:r>
    </w:p>
    <w:p>
      <w:pPr>
        <w:pStyle w:val="ListNumber"/>
        <w:spacing w:line="480" w:lineRule="auto"/>
      </w:pPr>
      <w:r>
        <w:rPr>
          <w:rFonts w:ascii="Times New Roman" w:hAnsi="Times New Roman"/>
          <w:sz w:val="24"/>
        </w:rPr>
        <w:t>Experimental validation (Hi-C, CRISPR on identified variants)</w:t>
      </w:r>
    </w:p>
    <w:p>
      <w:pPr>
        <w:pStyle w:val="ListNumber"/>
        <w:spacing w:line="480" w:lineRule="auto"/>
      </w:pPr>
      <w:r>
        <w:rPr>
          <w:rFonts w:ascii="Times New Roman" w:hAnsi="Times New Roman"/>
          <w:sz w:val="24"/>
        </w:rPr>
        <w:t>Baseline comparison with other structural prediction tools (Akita, Enformer, DeepSEA) to quantify ARCHCODE-specific vs general structural prediction error rates</w:t>
      </w:r>
    </w:p>
    <w:p>
      <w:pPr>
        <w:spacing w:before="120" w:after="60" w:line="480" w:lineRule="auto"/>
      </w:pPr>
      <w:r>
        <w:rPr>
          <w:rFonts w:ascii="Times New Roman" w:hAnsi="Times New Roman"/>
          <w:b/>
          <w:i w:val="0"/>
          <w:sz w:val="24"/>
        </w:rPr>
        <w:t>Conclusion</w:t>
      </w:r>
    </w:p>
    <w:p>
      <w:pPr>
        <w:spacing w:before="0" w:after="120" w:line="480" w:lineRule="auto"/>
      </w:pPr>
      <w:r>
        <w:rPr>
          <w:rFonts w:ascii="Times New Roman" w:hAnsi="Times New Roman"/>
          <w:b w:val="0"/>
          <w:i w:val="0"/>
          <w:sz w:val="24"/>
        </w:rPr>
        <w:t>Population stratification, adapted from PyPop immunogenetics methodology, provides a scalable validation framework for structural variant predictions in regulatory regions. By leveraging disease epidemiology and cross-population allele frequency consistency, this approach detects misclassifications invisible to sequence-based pathogenicity tools. The identification of 2 of 15 HBB promoter variants with reverse epidemiology patterns demonstrates proof-of-concept for this methodology. Larger multi-locus studies are needed to systematically quantify error rates and establish population genetics as a standard component of regulatory variant interpretation workflows.</w:t>
      </w:r>
    </w:p>
    <w:p>
      <w:pPr>
        <w:spacing w:before="120" w:after="120"/>
      </w:pPr>
    </w:p>
    <w:p>
      <w:pPr>
        <w:spacing w:before="240" w:after="120" w:line="480" w:lineRule="auto"/>
      </w:pPr>
      <w:r>
        <w:rPr>
          <w:rFonts w:ascii="Times New Roman" w:hAnsi="Times New Roman"/>
          <w:b/>
          <w:i w:val="0"/>
          <w:sz w:val="28"/>
        </w:rPr>
        <w:t>REFERENCES</w:t>
      </w:r>
    </w:p>
    <w:p>
      <w:pPr>
        <w:pStyle w:val="ListNumber"/>
        <w:spacing w:line="480" w:lineRule="auto"/>
      </w:pPr>
      <w:r>
        <w:rPr>
          <w:rFonts w:ascii="Times New Roman" w:hAnsi="Times New Roman"/>
          <w:sz w:val="24"/>
        </w:rPr>
        <w:t>Lancaster AK, et al. (2024). PyPop: A mature open-source software pipeline for population genomics. *Front Immunol* 15:1378512. DOI: 10.3389/fimmu.2024.1378512</w:t>
      </w:r>
    </w:p>
    <w:p>
      <w:pPr>
        <w:pStyle w:val="ListNumber"/>
        <w:spacing w:line="480" w:lineRule="auto"/>
      </w:pPr>
      <w:r>
        <w:rPr>
          <w:rFonts w:ascii="Times New Roman" w:hAnsi="Times New Roman"/>
          <w:sz w:val="24"/>
        </w:rPr>
        <w:t>Chen S, et al. (2024). A genomic mutational constraint map using variation in 76,156 human genomes. *Nature* 625:92-100. DOI: 10.1038/s41586-023-06045-0</w:t>
      </w:r>
    </w:p>
    <w:p>
      <w:pPr>
        <w:pStyle w:val="ListNumber"/>
        <w:spacing w:line="480" w:lineRule="auto"/>
      </w:pPr>
      <w:r>
        <w:rPr>
          <w:rFonts w:ascii="Times New Roman" w:hAnsi="Times New Roman"/>
          <w:sz w:val="24"/>
        </w:rPr>
        <w:t>Angastiniotis M, Modell B. (1998). Global epidemiology of hemoglobin disorders. *Ann NY Acad Sci* 850:251-269. DOI: 10.1111/j.1749-6632.1998.tb10479.x</w:t>
      </w:r>
    </w:p>
    <w:p>
      <w:pPr>
        <w:pStyle w:val="ListNumber"/>
        <w:spacing w:line="480" w:lineRule="auto"/>
      </w:pPr>
      <w:r>
        <w:rPr>
          <w:rFonts w:ascii="Times New Roman" w:hAnsi="Times New Roman"/>
          <w:sz w:val="24"/>
        </w:rPr>
        <w:t>Weatherall DJ. (2001). Phenotype-genotype relationships in monogenic disease: lessons from the thalassaemias. *Nat Rev Genet* 2:245-255. DOI: 10.1038/35066048</w:t>
      </w:r>
    </w:p>
    <w:p>
      <w:pPr>
        <w:pStyle w:val="ListNumber"/>
        <w:spacing w:line="480" w:lineRule="auto"/>
      </w:pPr>
      <w:r>
        <w:rPr>
          <w:rFonts w:ascii="Times New Roman" w:hAnsi="Times New Roman"/>
          <w:sz w:val="24"/>
        </w:rPr>
        <w:t>Richards S, et al. (2015). Standards and guidelines for the interpretation of sequence variants. *Genet Med* 17:405-424. DOI: 10.1038/gim.2015.30</w:t>
      </w:r>
    </w:p>
    <w:p>
      <w:pPr>
        <w:pStyle w:val="ListNumber"/>
        <w:spacing w:line="480" w:lineRule="auto"/>
      </w:pPr>
      <w:r>
        <w:rPr>
          <w:rFonts w:ascii="Times New Roman" w:hAnsi="Times New Roman"/>
          <w:sz w:val="24"/>
        </w:rPr>
        <w:t>Spielmann M, et al. (2018). Structural variation in the 3D genome. *Nat Rev Genet* 19:453-467. DOI: 10.1038/s41576-018-0007-0</w:t>
      </w:r>
    </w:p>
    <w:p>
      <w:pPr>
        <w:pStyle w:val="ListNumber"/>
        <w:spacing w:line="480" w:lineRule="auto"/>
      </w:pPr>
      <w:r>
        <w:rPr>
          <w:rFonts w:ascii="Times New Roman" w:hAnsi="Times New Roman"/>
          <w:sz w:val="24"/>
        </w:rPr>
        <w:t>Lupiáñez DG, et al. (2015). Disruptions of topological chromatin domains cause pathogenic rewiring of gene-enhancer interactions. *Cell* 161:1012-1025. DOI: 10.1016/j.cell.2015.04.004</w:t>
      </w:r>
    </w:p>
    <w:p>
      <w:pPr>
        <w:spacing w:before="120" w:after="120"/>
      </w:pPr>
    </w:p>
    <w:p>
      <w:pPr>
        <w:spacing w:before="240" w:after="120" w:line="480" w:lineRule="auto"/>
      </w:pPr>
      <w:r>
        <w:rPr>
          <w:rFonts w:ascii="Times New Roman" w:hAnsi="Times New Roman"/>
          <w:b/>
          <w:i w:val="0"/>
          <w:sz w:val="28"/>
        </w:rPr>
        <w:t>DATA AVAILABILITY</w:t>
      </w:r>
    </w:p>
    <w:p>
      <w:pPr>
        <w:spacing w:before="0" w:after="120" w:line="480" w:lineRule="auto"/>
      </w:pPr>
      <w:r>
        <w:rPr>
          <w:rFonts w:ascii="Times New Roman" w:hAnsi="Times New Roman"/>
          <w:b/>
          <w:sz w:val="24"/>
        </w:rPr>
        <w:t>Code:</w:t>
      </w:r>
      <w:r>
        <w:rPr>
          <w:rFonts w:ascii="Times New Roman" w:hAnsi="Times New Roman"/>
          <w:b w:val="0"/>
          <w:i w:val="0"/>
          <w:sz w:val="24"/>
        </w:rPr>
        <w:t xml:space="preserve"> https://github.com/sergeeey/ARCHCODE (commit 1415229)</w:t>
      </w:r>
    </w:p>
    <w:p>
      <w:pPr>
        <w:spacing w:before="0" w:after="120" w:line="480" w:lineRule="auto"/>
      </w:pPr>
      <w:r>
        <w:rPr>
          <w:rFonts w:ascii="Times New Roman" w:hAnsi="Times New Roman"/>
          <w:b/>
          <w:sz w:val="24"/>
        </w:rPr>
        <w:t>ARCHCODE Zenodo:</w:t>
      </w:r>
      <w:r>
        <w:rPr>
          <w:rFonts w:ascii="Times New Roman" w:hAnsi="Times New Roman"/>
          <w:b w:val="0"/>
          <w:i w:val="0"/>
          <w:sz w:val="24"/>
        </w:rPr>
        <w:t xml:space="preserve"> DOI: 10.5281/zenodo.18908214 (v2.17)</w:t>
      </w:r>
    </w:p>
    <w:p>
      <w:pPr>
        <w:spacing w:before="0" w:after="120" w:line="480" w:lineRule="auto"/>
      </w:pPr>
      <w:r>
        <w:rPr>
          <w:rFonts w:ascii="Times New Roman" w:hAnsi="Times New Roman"/>
          <w:b/>
          <w:sz w:val="24"/>
        </w:rPr>
        <w:t>Results:</w:t>
      </w:r>
    </w:p>
    <w:p>
      <w:pPr>
        <w:pStyle w:val="ListBullet"/>
        <w:spacing w:before="0" w:after="40" w:line="480" w:lineRule="auto"/>
      </w:pPr>
      <w:r>
        <w:rPr>
          <w:rFonts w:ascii="Times New Roman" w:hAnsi="Times New Roman"/>
          <w:sz w:val="24"/>
        </w:rPr>
        <w:t>`results/gnomad_populations_pearls.csv` — 15 variants × 20 population columns (12 with gnomAD data, 3 not found, 2 above LSSIM threshold)</w:t>
      </w:r>
    </w:p>
    <w:p>
      <w:pPr>
        <w:pStyle w:val="ListBullet"/>
        <w:spacing w:before="0" w:after="40" w:line="480" w:lineRule="auto"/>
      </w:pPr>
      <w:r>
        <w:rPr>
          <w:rFonts w:ascii="Times New Roman" w:hAnsi="Times New Roman"/>
          <w:sz w:val="24"/>
        </w:rPr>
        <w:t>`results/gnomad_populations_summary.json` — cross-population analysis summary</w:t>
      </w:r>
    </w:p>
    <w:p>
      <w:pPr>
        <w:pStyle w:val="ListBullet"/>
        <w:spacing w:before="0" w:after="40" w:line="480" w:lineRule="auto"/>
      </w:pPr>
      <w:r>
        <w:rPr>
          <w:rFonts w:ascii="Times New Roman" w:hAnsi="Times New Roman"/>
          <w:sz w:val="24"/>
        </w:rPr>
        <w:t>`results/gnomad_coverage_check.json` — allele number (AN) coverage validation for 2 variants</w:t>
      </w:r>
    </w:p>
    <w:p>
      <w:pPr>
        <w:pStyle w:val="ListBullet"/>
        <w:spacing w:before="0" w:after="40" w:line="480" w:lineRule="auto"/>
      </w:pPr>
      <w:r>
        <w:rPr>
          <w:rFonts w:ascii="Times New Roman" w:hAnsi="Times New Roman"/>
          <w:sz w:val="24"/>
        </w:rPr>
        <w:t>`scripts/query_gnomad_populations.py` — gnomAD GraphQL query tool</w:t>
      </w:r>
    </w:p>
    <w:p>
      <w:pPr>
        <w:spacing w:before="120" w:after="120"/>
      </w:pPr>
    </w:p>
    <w:p>
      <w:pPr>
        <w:spacing w:before="240" w:after="120" w:line="480" w:lineRule="auto"/>
      </w:pPr>
      <w:r>
        <w:rPr>
          <w:rFonts w:ascii="Times New Roman" w:hAnsi="Times New Roman"/>
          <w:b/>
          <w:i w:val="0"/>
          <w:sz w:val="28"/>
        </w:rPr>
        <w:t>ACKNOWLEDGMENTS</w:t>
      </w:r>
    </w:p>
    <w:p>
      <w:pPr>
        <w:spacing w:before="0" w:after="120" w:line="480" w:lineRule="auto"/>
      </w:pPr>
      <w:r>
        <w:rPr>
          <w:rFonts w:ascii="Times New Roman" w:hAnsi="Times New Roman"/>
          <w:b w:val="0"/>
          <w:i w:val="0"/>
          <w:sz w:val="24"/>
        </w:rPr>
        <w:t>We thank Alexander K. Lancaster, Richard M. Single, Steven J. Mack, Vanessa Sochat, Michael P. Mariani, and Gordon D. Webster for developing the PyPop framework and for making it openly available. We acknowledge the Genome Aggregation Database (gnomAD) consortium for providing open-access population genetics data.</w:t>
      </w:r>
    </w:p>
    <w:p>
      <w:pPr>
        <w:spacing w:before="120" w:after="120"/>
      </w:pPr>
    </w:p>
    <w:p>
      <w:pPr>
        <w:spacing w:before="0" w:after="120" w:line="480" w:lineRule="auto"/>
      </w:pPr>
      <w:r>
        <w:rPr>
          <w:rFonts w:ascii="Times New Roman" w:hAnsi="Times New Roman"/>
          <w:b/>
          <w:sz w:val="24"/>
        </w:rPr>
        <w:t>Total word count:</w:t>
      </w:r>
      <w:r>
        <w:rPr>
          <w:rFonts w:ascii="Times New Roman" w:hAnsi="Times New Roman"/>
          <w:b w:val="0"/>
          <w:i w:val="0"/>
          <w:sz w:val="24"/>
        </w:rPr>
        <w:t xml:space="preserve"> 3,239 words</w:t>
      </w:r>
    </w:p>
    <w:p>
      <w:pPr>
        <w:spacing w:before="0" w:after="120" w:line="480" w:lineRule="auto"/>
      </w:pPr>
      <w:r>
        <w:rPr>
          <w:rFonts w:ascii="Times New Roman" w:hAnsi="Times New Roman"/>
          <w:b/>
          <w:sz w:val="24"/>
        </w:rPr>
        <w:t>Target journal:</w:t>
      </w:r>
      <w:r>
        <w:rPr>
          <w:rFonts w:ascii="Times New Roman" w:hAnsi="Times New Roman"/>
          <w:b w:val="0"/>
          <w:i w:val="0"/>
          <w:sz w:val="24"/>
        </w:rPr>
        <w:t xml:space="preserve"> Human Mutation (short reports: 3000-5000 words accepted)</w:t>
      </w:r>
    </w:p>
    <w:p>
      <w:pPr>
        <w:spacing w:before="0" w:after="120" w:line="480" w:lineRule="auto"/>
      </w:pPr>
      <w:r>
        <w:rPr>
          <w:rFonts w:ascii="Times New Roman" w:hAnsi="Times New Roman"/>
          <w:b/>
          <w:sz w:val="24"/>
        </w:rPr>
        <w:t>Submission date:</w:t>
      </w:r>
      <w:r>
        <w:rPr>
          <w:rFonts w:ascii="Times New Roman" w:hAnsi="Times New Roman"/>
          <w:b w:val="0"/>
          <w:i w:val="0"/>
          <w:sz w:val="24"/>
        </w:rPr>
        <w:t xml:space="preserve"> May 2026</w:t>
      </w:r>
    </w:p>
    <w:p>
      <w:pPr>
        <w:spacing w:before="0" w:after="120" w:line="480" w:lineRule="auto"/>
      </w:pPr>
      <w:r>
        <w:rPr>
          <w:rFonts w:ascii="Times New Roman" w:hAnsi="Times New Roman"/>
          <w:b/>
          <w:sz w:val="24"/>
        </w:rPr>
        <w:t>Status:</w:t>
      </w:r>
      <w:r>
        <w:rPr>
          <w:rFonts w:ascii="Times New Roman" w:hAnsi="Times New Roman"/>
          <w:b w:val="0"/>
          <w:i w:val="0"/>
          <w:sz w:val="24"/>
        </w:rPr>
        <w:t xml:space="preserve"> READY FOR SUBMISSION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