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drawing>
          <wp:inline xmlns:a="http://schemas.openxmlformats.org/drawingml/2006/main" xmlns:pic="http://schemas.openxmlformats.org/drawingml/2006/picture">
            <wp:extent cx="1645920" cy="1366528"/>
            <wp:docPr id="1" name="Picture 1"/>
            <wp:cNvGraphicFramePr>
              <a:graphicFrameLocks noChangeAspect="1"/>
            </wp:cNvGraphicFramePr>
            <a:graphic>
              <a:graphicData uri="http://schemas.openxmlformats.org/drawingml/2006/picture">
                <pic:pic>
                  <pic:nvPicPr>
                    <pic:cNvPr id="0" name="image5.png"/>
                    <pic:cNvPicPr/>
                  </pic:nvPicPr>
                  <pic:blipFill>
                    <a:blip r:embed="rId9"/>
                    <a:stretch>
                      <a:fillRect/>
                    </a:stretch>
                  </pic:blipFill>
                  <pic:spPr>
                    <a:xfrm>
                      <a:off x="0" y="0"/>
                      <a:ext cx="1645920" cy="1366528"/>
                    </a:xfrm>
                    <a:prstGeom prst="rect"/>
                  </pic:spPr>
                </pic:pic>
              </a:graphicData>
            </a:graphic>
          </wp:inline>
        </w:drawing>
      </w:r>
    </w:p>
    <w:p>
      <w:pPr>
        <w:spacing w:before="40" w:after="120"/>
        <w:jc w:val="center"/>
      </w:pPr>
      <w:r>
        <w:rPr>
          <w:rFonts w:ascii="Calibri" w:hAnsi="Calibri" w:eastAsia="Calibri"/>
          <w:b/>
          <w:color w:val="397443"/>
          <w:sz w:val="20"/>
        </w:rPr>
        <w:t>PROPOSITION TECHNIQUE &amp; FINANCIÈRE</w:t>
      </w:r>
    </w:p>
    <w:p>
      <w:pPr>
        <w:pStyle w:val="Title"/>
      </w:pPr>
      <w:r>
        <w:t>ERP DE GESTION INTÉGRÉ</w:t>
      </w:r>
    </w:p>
    <w:p>
      <w:pPr>
        <w:pStyle w:val="Subtitle"/>
      </w:pPr>
      <w:r>
        <w:t>Une plateforme unique pour piloter les projets, les ventes, les opérations et la rentabilité de toutes les activités d’OLIVE DANAROY.</w:t>
      </w:r>
    </w:p>
    <w:p>
      <w:pPr>
        <w:spacing w:after="280"/>
        <w:jc w:val="center"/>
      </w:pPr>
      <w:r>
        <w:rPr>
          <w:rFonts w:ascii="Calibri" w:hAnsi="Calibri" w:eastAsia="Calibri"/>
          <w:b/>
          <w:color w:val="526159"/>
          <w:sz w:val="21"/>
        </w:rPr>
        <w:t>PRÉPARÉ POUR  OLIVE DANAROY SARLU</w:t>
        <w:br/>
        <w:t>16 juillet 2026 — Abidjan, Côte d’Ivoire</w:t>
      </w:r>
    </w:p>
    <w:p>
      <w:pPr>
        <w:spacing w:after="160"/>
        <w:jc w:val="center"/>
      </w:pPr>
      <w:r>
        <w:drawing>
          <wp:inline xmlns:a="http://schemas.openxmlformats.org/drawingml/2006/main" xmlns:pic="http://schemas.openxmlformats.org/drawingml/2006/picture">
            <wp:extent cx="5760720" cy="3245806"/>
            <wp:docPr id="2" name="Picture 2"/>
            <wp:cNvGraphicFramePr>
              <a:graphicFrameLocks noChangeAspect="1"/>
            </wp:cNvGraphicFramePr>
            <a:graphic>
              <a:graphicData uri="http://schemas.openxmlformats.org/drawingml/2006/picture">
                <pic:pic>
                  <pic:nvPicPr>
                    <pic:cNvPr id="0" name="image2.jpg"/>
                    <pic:cNvPicPr/>
                  </pic:nvPicPr>
                  <pic:blipFill>
                    <a:blip r:embed="rId10"/>
                    <a:stretch>
                      <a:fillRect/>
                    </a:stretch>
                  </pic:blipFill>
                  <pic:spPr>
                    <a:xfrm>
                      <a:off x="0" y="0"/>
                      <a:ext cx="5760720" cy="3245806"/>
                    </a:xfrm>
                    <a:prstGeom prst="rect"/>
                  </pic:spPr>
                </pic:pic>
              </a:graphicData>
            </a:graphic>
          </wp:inline>
        </w:drawing>
      </w:r>
    </w:p>
    <w:p>
      <w:pPr>
        <w:jc w:val="center"/>
      </w:pPr>
      <w:r>
        <w:rPr>
          <w:rFonts w:ascii="Calibri" w:hAnsi="Calibri" w:eastAsia="Calibri"/>
          <w:b/>
          <w:color w:val="234E2B"/>
          <w:sz w:val="17"/>
        </w:rPr>
        <w:t>DOCUMENT DE TRAVAIL  •  VALIDITÉ 30 JOURS</w:t>
      </w:r>
    </w:p>
    <w:p>
      <w:pPr>
        <w:sectPr>
          <w:pgSz w:w="12240" w:h="15840"/>
          <w:pgMar w:top="1152" w:right="1440" w:bottom="1080" w:left="1440" w:header="708" w:footer="708" w:gutter="0"/>
          <w:cols w:space="720"/>
          <w:docGrid w:linePitch="360"/>
        </w:sectPr>
      </w:pPr>
    </w:p>
    <w:p>
      <w:pPr>
        <w:pStyle w:val="Heading1"/>
      </w:pPr>
      <w:r>
        <w:t>Sommaire</w:t>
      </w:r>
    </w:p>
    <w:p>
      <w:pPr>
        <w:spacing w:after="160" w:line="320" w:lineRule="auto"/>
        <w:jc w:val="left"/>
        <w:keepLines/>
      </w:pPr>
      <w:r>
        <w:rPr>
          <w:rFonts w:ascii="Calibri" w:hAnsi="Calibri" w:eastAsia="Calibri"/>
          <w:i/>
          <w:color w:val="17251C"/>
          <w:sz w:val="22"/>
        </w:rPr>
        <w:t>Les titres sont structurés avec les styles Word afin de faciliter la navigation dans le document.</w:t>
      </w:r>
    </w:p>
    <w:tbl>
      <w:tblPr>
        <w:tblW w:type="dxa" w:w="9360"/>
        <w:jc w:val="left"/>
        <w:tblLayout w:type="fixed"/>
        <w:tblLook w:firstColumn="1" w:firstRow="1" w:lastColumn="0" w:lastRow="0" w:noHBand="0" w:noVBand="1" w:val="04A0"/>
        <w:tblInd w:type="dxa" w:w="120"/>
      </w:tblPr>
      <w:tblGrid>
        <w:gridCol w:w="8400"/>
        <w:gridCol w:w="960"/>
      </w:tblGrid>
      <w:tr>
        <w:trPr/>
        <w:tc>
          <w:tcPr>
            <w:tcW w:type="dxa" w:w="8400"/>
            <w:vAlign w:val="center"/>
            <w:tcBorders>
              <w:top w:val="single" w:sz="2" w:color="E4ECE5"/>
              <w:left w:val="single" w:sz="2" w:color="E4ECE5"/>
              <w:bottom w:val="single" w:sz="2" w:color="E4ECE5"/>
              <w:right w:val="single" w:sz="2" w:color="E4ECE5"/>
              <w:insideH w:val="single" w:sz="2" w:color="E4ECE5"/>
              <w:insideV w:val="single" w:sz="2" w:color="E4ECE5"/>
            </w:tcBorders>
            <w:shd w:fill="FFFFFF"/>
            <w:tcMar>
              <w:top w:w="80" w:type="dxa"/>
              <w:bottom w:w="80" w:type="dxa"/>
              <w:start w:w="120" w:type="dxa"/>
              <w:end w:w="120" w:type="dxa"/>
            </w:tcMar>
          </w:tcPr>
          <w:p>
            <w:pPr>
              <w:spacing w:before="0" w:after="0" w:line="276" w:lineRule="auto"/>
              <w:jc w:val="left"/>
            </w:pPr>
            <w:r>
              <w:rPr>
                <w:rFonts w:ascii="Calibri" w:hAnsi="Calibri" w:eastAsia="Calibri"/>
                <w:b w:val="0"/>
                <w:color w:val="17251C"/>
                <w:sz w:val="20"/>
              </w:rPr>
              <w:t>1. Synthèse exécutive</w:t>
            </w:r>
          </w:p>
        </w:tc>
        <w:tc>
          <w:tcPr>
            <w:tcW w:type="dxa" w:w="960"/>
            <w:vAlign w:val="center"/>
            <w:tcBorders>
              <w:top w:val="single" w:sz="2" w:color="E4ECE5"/>
              <w:left w:val="single" w:sz="2" w:color="E4ECE5"/>
              <w:bottom w:val="single" w:sz="2" w:color="E4ECE5"/>
              <w:right w:val="single" w:sz="2" w:color="E4ECE5"/>
              <w:insideH w:val="single" w:sz="2" w:color="E4ECE5"/>
              <w:insideV w:val="single" w:sz="2" w:color="E4ECE5"/>
            </w:tcBorders>
            <w:shd w:fill="FFFFFF"/>
            <w:tcMar>
              <w:top w:w="80" w:type="dxa"/>
              <w:bottom w:w="80" w:type="dxa"/>
              <w:start w:w="120" w:type="dxa"/>
              <w:end w:w="120" w:type="dxa"/>
            </w:tcMar>
          </w:tcPr>
          <w:p>
            <w:pPr>
              <w:spacing w:before="0" w:after="0" w:line="276" w:lineRule="auto"/>
              <w:jc w:val="right"/>
            </w:pPr>
            <w:r>
              <w:rPr>
                <w:rFonts w:ascii="Calibri" w:hAnsi="Calibri" w:eastAsia="Calibri"/>
                <w:b/>
                <w:color w:val="234E2B"/>
                <w:sz w:val="20"/>
              </w:rPr>
              <w:t>2</w:t>
            </w:r>
          </w:p>
        </w:tc>
      </w:tr>
      <w:tr>
        <w:trPr/>
        <w:tc>
          <w:tcPr>
            <w:tcW w:type="dxa" w:w="8400"/>
            <w:vAlign w:val="center"/>
            <w:tcBorders>
              <w:top w:val="single" w:sz="2" w:color="E4ECE5"/>
              <w:left w:val="single" w:sz="2" w:color="E4ECE5"/>
              <w:bottom w:val="single" w:sz="2" w:color="E4ECE5"/>
              <w:right w:val="single" w:sz="2" w:color="E4ECE5"/>
              <w:insideH w:val="single" w:sz="2" w:color="E4ECE5"/>
              <w:insideV w:val="single" w:sz="2" w:color="E4ECE5"/>
            </w:tcBorders>
            <w:shd w:fill="F3F7F3"/>
            <w:tcMar>
              <w:top w:w="80" w:type="dxa"/>
              <w:bottom w:w="80" w:type="dxa"/>
              <w:start w:w="120" w:type="dxa"/>
              <w:end w:w="120" w:type="dxa"/>
            </w:tcMar>
          </w:tcPr>
          <w:p>
            <w:pPr>
              <w:spacing w:before="0" w:after="0" w:line="276" w:lineRule="auto"/>
              <w:jc w:val="left"/>
            </w:pPr>
            <w:r>
              <w:rPr>
                <w:rFonts w:ascii="Calibri" w:hAnsi="Calibri" w:eastAsia="Calibri"/>
                <w:b w:val="0"/>
                <w:color w:val="17251C"/>
                <w:sz w:val="20"/>
              </w:rPr>
              <w:t>2. Contexte, enjeux et périmètre</w:t>
            </w:r>
          </w:p>
        </w:tc>
        <w:tc>
          <w:tcPr>
            <w:tcW w:type="dxa" w:w="960"/>
            <w:vAlign w:val="center"/>
            <w:tcBorders>
              <w:top w:val="single" w:sz="2" w:color="E4ECE5"/>
              <w:left w:val="single" w:sz="2" w:color="E4ECE5"/>
              <w:bottom w:val="single" w:sz="2" w:color="E4ECE5"/>
              <w:right w:val="single" w:sz="2" w:color="E4ECE5"/>
              <w:insideH w:val="single" w:sz="2" w:color="E4ECE5"/>
              <w:insideV w:val="single" w:sz="2" w:color="E4ECE5"/>
            </w:tcBorders>
            <w:shd w:fill="F3F7F3"/>
            <w:tcMar>
              <w:top w:w="80" w:type="dxa"/>
              <w:bottom w:w="80" w:type="dxa"/>
              <w:start w:w="120" w:type="dxa"/>
              <w:end w:w="120" w:type="dxa"/>
            </w:tcMar>
          </w:tcPr>
          <w:p>
            <w:pPr>
              <w:spacing w:before="0" w:after="0" w:line="276" w:lineRule="auto"/>
              <w:jc w:val="right"/>
            </w:pPr>
            <w:r>
              <w:rPr>
                <w:rFonts w:ascii="Calibri" w:hAnsi="Calibri" w:eastAsia="Calibri"/>
                <w:b/>
                <w:color w:val="234E2B"/>
                <w:sz w:val="20"/>
              </w:rPr>
              <w:t>3</w:t>
            </w:r>
          </w:p>
        </w:tc>
      </w:tr>
      <w:tr>
        <w:trPr/>
        <w:tc>
          <w:tcPr>
            <w:tcW w:type="dxa" w:w="8400"/>
            <w:vAlign w:val="center"/>
            <w:tcBorders>
              <w:top w:val="single" w:sz="2" w:color="E4ECE5"/>
              <w:left w:val="single" w:sz="2" w:color="E4ECE5"/>
              <w:bottom w:val="single" w:sz="2" w:color="E4ECE5"/>
              <w:right w:val="single" w:sz="2" w:color="E4ECE5"/>
              <w:insideH w:val="single" w:sz="2" w:color="E4ECE5"/>
              <w:insideV w:val="single" w:sz="2" w:color="E4ECE5"/>
            </w:tcBorders>
            <w:shd w:fill="FFFFFF"/>
            <w:tcMar>
              <w:top w:w="80" w:type="dxa"/>
              <w:bottom w:w="80" w:type="dxa"/>
              <w:start w:w="120" w:type="dxa"/>
              <w:end w:w="120" w:type="dxa"/>
            </w:tcMar>
          </w:tcPr>
          <w:p>
            <w:pPr>
              <w:spacing w:before="0" w:after="0" w:line="276" w:lineRule="auto"/>
              <w:jc w:val="left"/>
            </w:pPr>
            <w:r>
              <w:rPr>
                <w:rFonts w:ascii="Calibri" w:hAnsi="Calibri" w:eastAsia="Calibri"/>
                <w:b w:val="0"/>
                <w:color w:val="17251C"/>
                <w:sz w:val="20"/>
              </w:rPr>
              <w:t>3. Offre fonctionnelle</w:t>
            </w:r>
          </w:p>
        </w:tc>
        <w:tc>
          <w:tcPr>
            <w:tcW w:type="dxa" w:w="960"/>
            <w:vAlign w:val="center"/>
            <w:tcBorders>
              <w:top w:val="single" w:sz="2" w:color="E4ECE5"/>
              <w:left w:val="single" w:sz="2" w:color="E4ECE5"/>
              <w:bottom w:val="single" w:sz="2" w:color="E4ECE5"/>
              <w:right w:val="single" w:sz="2" w:color="E4ECE5"/>
              <w:insideH w:val="single" w:sz="2" w:color="E4ECE5"/>
              <w:insideV w:val="single" w:sz="2" w:color="E4ECE5"/>
            </w:tcBorders>
            <w:shd w:fill="FFFFFF"/>
            <w:tcMar>
              <w:top w:w="80" w:type="dxa"/>
              <w:bottom w:w="80" w:type="dxa"/>
              <w:start w:w="120" w:type="dxa"/>
              <w:end w:w="120" w:type="dxa"/>
            </w:tcMar>
          </w:tcPr>
          <w:p>
            <w:pPr>
              <w:spacing w:before="0" w:after="0" w:line="276" w:lineRule="auto"/>
              <w:jc w:val="right"/>
            </w:pPr>
            <w:r>
              <w:rPr>
                <w:rFonts w:ascii="Calibri" w:hAnsi="Calibri" w:eastAsia="Calibri"/>
                <w:b/>
                <w:color w:val="234E2B"/>
                <w:sz w:val="20"/>
              </w:rPr>
              <w:t>4</w:t>
            </w:r>
          </w:p>
        </w:tc>
      </w:tr>
      <w:tr>
        <w:trPr/>
        <w:tc>
          <w:tcPr>
            <w:tcW w:type="dxa" w:w="8400"/>
            <w:vAlign w:val="center"/>
            <w:tcBorders>
              <w:top w:val="single" w:sz="2" w:color="E4ECE5"/>
              <w:left w:val="single" w:sz="2" w:color="E4ECE5"/>
              <w:bottom w:val="single" w:sz="2" w:color="E4ECE5"/>
              <w:right w:val="single" w:sz="2" w:color="E4ECE5"/>
              <w:insideH w:val="single" w:sz="2" w:color="E4ECE5"/>
              <w:insideV w:val="single" w:sz="2" w:color="E4ECE5"/>
            </w:tcBorders>
            <w:shd w:fill="F3F7F3"/>
            <w:tcMar>
              <w:top w:w="80" w:type="dxa"/>
              <w:bottom w:w="80" w:type="dxa"/>
              <w:start w:w="120" w:type="dxa"/>
              <w:end w:w="120" w:type="dxa"/>
            </w:tcMar>
          </w:tcPr>
          <w:p>
            <w:pPr>
              <w:spacing w:before="0" w:after="0" w:line="276" w:lineRule="auto"/>
              <w:jc w:val="left"/>
            </w:pPr>
            <w:r>
              <w:rPr>
                <w:rFonts w:ascii="Calibri" w:hAnsi="Calibri" w:eastAsia="Calibri"/>
                <w:b w:val="0"/>
                <w:color w:val="17251C"/>
                <w:sz w:val="20"/>
              </w:rPr>
              <w:t>4. Architecture technique, sécurité et continuité</w:t>
            </w:r>
          </w:p>
        </w:tc>
        <w:tc>
          <w:tcPr>
            <w:tcW w:type="dxa" w:w="960"/>
            <w:vAlign w:val="center"/>
            <w:tcBorders>
              <w:top w:val="single" w:sz="2" w:color="E4ECE5"/>
              <w:left w:val="single" w:sz="2" w:color="E4ECE5"/>
              <w:bottom w:val="single" w:sz="2" w:color="E4ECE5"/>
              <w:right w:val="single" w:sz="2" w:color="E4ECE5"/>
              <w:insideH w:val="single" w:sz="2" w:color="E4ECE5"/>
              <w:insideV w:val="single" w:sz="2" w:color="E4ECE5"/>
            </w:tcBorders>
            <w:shd w:fill="F3F7F3"/>
            <w:tcMar>
              <w:top w:w="80" w:type="dxa"/>
              <w:bottom w:w="80" w:type="dxa"/>
              <w:start w:w="120" w:type="dxa"/>
              <w:end w:w="120" w:type="dxa"/>
            </w:tcMar>
          </w:tcPr>
          <w:p>
            <w:pPr>
              <w:spacing w:before="0" w:after="0" w:line="276" w:lineRule="auto"/>
              <w:jc w:val="right"/>
            </w:pPr>
            <w:r>
              <w:rPr>
                <w:rFonts w:ascii="Calibri" w:hAnsi="Calibri" w:eastAsia="Calibri"/>
                <w:b/>
                <w:color w:val="234E2B"/>
                <w:sz w:val="20"/>
              </w:rPr>
              <w:t>7</w:t>
            </w:r>
          </w:p>
        </w:tc>
      </w:tr>
      <w:tr>
        <w:trPr/>
        <w:tc>
          <w:tcPr>
            <w:tcW w:type="dxa" w:w="8400"/>
            <w:vAlign w:val="center"/>
            <w:tcBorders>
              <w:top w:val="single" w:sz="2" w:color="E4ECE5"/>
              <w:left w:val="single" w:sz="2" w:color="E4ECE5"/>
              <w:bottom w:val="single" w:sz="2" w:color="E4ECE5"/>
              <w:right w:val="single" w:sz="2" w:color="E4ECE5"/>
              <w:insideH w:val="single" w:sz="2" w:color="E4ECE5"/>
              <w:insideV w:val="single" w:sz="2" w:color="E4ECE5"/>
            </w:tcBorders>
            <w:shd w:fill="FFFFFF"/>
            <w:tcMar>
              <w:top w:w="80" w:type="dxa"/>
              <w:bottom w:w="80" w:type="dxa"/>
              <w:start w:w="120" w:type="dxa"/>
              <w:end w:w="120" w:type="dxa"/>
            </w:tcMar>
          </w:tcPr>
          <w:p>
            <w:pPr>
              <w:spacing w:before="0" w:after="0" w:line="276" w:lineRule="auto"/>
              <w:jc w:val="left"/>
            </w:pPr>
            <w:r>
              <w:rPr>
                <w:rFonts w:ascii="Calibri" w:hAnsi="Calibri" w:eastAsia="Calibri"/>
                <w:b w:val="0"/>
                <w:color w:val="17251C"/>
                <w:sz w:val="20"/>
              </w:rPr>
              <w:t>5. Tableaux de bord et indicateurs</w:t>
            </w:r>
          </w:p>
        </w:tc>
        <w:tc>
          <w:tcPr>
            <w:tcW w:type="dxa" w:w="960"/>
            <w:vAlign w:val="center"/>
            <w:tcBorders>
              <w:top w:val="single" w:sz="2" w:color="E4ECE5"/>
              <w:left w:val="single" w:sz="2" w:color="E4ECE5"/>
              <w:bottom w:val="single" w:sz="2" w:color="E4ECE5"/>
              <w:right w:val="single" w:sz="2" w:color="E4ECE5"/>
              <w:insideH w:val="single" w:sz="2" w:color="E4ECE5"/>
              <w:insideV w:val="single" w:sz="2" w:color="E4ECE5"/>
            </w:tcBorders>
            <w:shd w:fill="FFFFFF"/>
            <w:tcMar>
              <w:top w:w="80" w:type="dxa"/>
              <w:bottom w:w="80" w:type="dxa"/>
              <w:start w:w="120" w:type="dxa"/>
              <w:end w:w="120" w:type="dxa"/>
            </w:tcMar>
          </w:tcPr>
          <w:p>
            <w:pPr>
              <w:spacing w:before="0" w:after="0" w:line="276" w:lineRule="auto"/>
              <w:jc w:val="right"/>
            </w:pPr>
            <w:r>
              <w:rPr>
                <w:rFonts w:ascii="Calibri" w:hAnsi="Calibri" w:eastAsia="Calibri"/>
                <w:b/>
                <w:color w:val="234E2B"/>
                <w:sz w:val="20"/>
              </w:rPr>
              <w:t>8</w:t>
            </w:r>
          </w:p>
        </w:tc>
      </w:tr>
      <w:tr>
        <w:trPr/>
        <w:tc>
          <w:tcPr>
            <w:tcW w:type="dxa" w:w="8400"/>
            <w:vAlign w:val="center"/>
            <w:tcBorders>
              <w:top w:val="single" w:sz="2" w:color="E4ECE5"/>
              <w:left w:val="single" w:sz="2" w:color="E4ECE5"/>
              <w:bottom w:val="single" w:sz="2" w:color="E4ECE5"/>
              <w:right w:val="single" w:sz="2" w:color="E4ECE5"/>
              <w:insideH w:val="single" w:sz="2" w:color="E4ECE5"/>
              <w:insideV w:val="single" w:sz="2" w:color="E4ECE5"/>
            </w:tcBorders>
            <w:shd w:fill="F3F7F3"/>
            <w:tcMar>
              <w:top w:w="80" w:type="dxa"/>
              <w:bottom w:w="80" w:type="dxa"/>
              <w:start w:w="120" w:type="dxa"/>
              <w:end w:w="120" w:type="dxa"/>
            </w:tcMar>
          </w:tcPr>
          <w:p>
            <w:pPr>
              <w:spacing w:before="0" w:after="0" w:line="276" w:lineRule="auto"/>
              <w:jc w:val="left"/>
            </w:pPr>
            <w:r>
              <w:rPr>
                <w:rFonts w:ascii="Calibri" w:hAnsi="Calibri" w:eastAsia="Calibri"/>
                <w:b w:val="0"/>
                <w:color w:val="17251C"/>
                <w:sz w:val="20"/>
              </w:rPr>
              <w:t>6. Méthodologie et planning de réalisation</w:t>
            </w:r>
          </w:p>
        </w:tc>
        <w:tc>
          <w:tcPr>
            <w:tcW w:type="dxa" w:w="960"/>
            <w:vAlign w:val="center"/>
            <w:tcBorders>
              <w:top w:val="single" w:sz="2" w:color="E4ECE5"/>
              <w:left w:val="single" w:sz="2" w:color="E4ECE5"/>
              <w:bottom w:val="single" w:sz="2" w:color="E4ECE5"/>
              <w:right w:val="single" w:sz="2" w:color="E4ECE5"/>
              <w:insideH w:val="single" w:sz="2" w:color="E4ECE5"/>
              <w:insideV w:val="single" w:sz="2" w:color="E4ECE5"/>
            </w:tcBorders>
            <w:shd w:fill="F3F7F3"/>
            <w:tcMar>
              <w:top w:w="80" w:type="dxa"/>
              <w:bottom w:w="80" w:type="dxa"/>
              <w:start w:w="120" w:type="dxa"/>
              <w:end w:w="120" w:type="dxa"/>
            </w:tcMar>
          </w:tcPr>
          <w:p>
            <w:pPr>
              <w:spacing w:before="0" w:after="0" w:line="276" w:lineRule="auto"/>
              <w:jc w:val="right"/>
            </w:pPr>
            <w:r>
              <w:rPr>
                <w:rFonts w:ascii="Calibri" w:hAnsi="Calibri" w:eastAsia="Calibri"/>
                <w:b/>
                <w:color w:val="234E2B"/>
                <w:sz w:val="20"/>
              </w:rPr>
              <w:t>9</w:t>
            </w:r>
          </w:p>
        </w:tc>
      </w:tr>
      <w:tr>
        <w:trPr/>
        <w:tc>
          <w:tcPr>
            <w:tcW w:type="dxa" w:w="8400"/>
            <w:vAlign w:val="center"/>
            <w:tcBorders>
              <w:top w:val="single" w:sz="2" w:color="E4ECE5"/>
              <w:left w:val="single" w:sz="2" w:color="E4ECE5"/>
              <w:bottom w:val="single" w:sz="2" w:color="E4ECE5"/>
              <w:right w:val="single" w:sz="2" w:color="E4ECE5"/>
              <w:insideH w:val="single" w:sz="2" w:color="E4ECE5"/>
              <w:insideV w:val="single" w:sz="2" w:color="E4ECE5"/>
            </w:tcBorders>
            <w:shd w:fill="FFFFFF"/>
            <w:tcMar>
              <w:top w:w="80" w:type="dxa"/>
              <w:bottom w:w="80" w:type="dxa"/>
              <w:start w:w="120" w:type="dxa"/>
              <w:end w:w="120" w:type="dxa"/>
            </w:tcMar>
          </w:tcPr>
          <w:p>
            <w:pPr>
              <w:spacing w:before="0" w:after="0" w:line="276" w:lineRule="auto"/>
              <w:jc w:val="left"/>
            </w:pPr>
            <w:r>
              <w:rPr>
                <w:rFonts w:ascii="Calibri" w:hAnsi="Calibri" w:eastAsia="Calibri"/>
                <w:b w:val="0"/>
                <w:color w:val="17251C"/>
                <w:sz w:val="20"/>
              </w:rPr>
              <w:t>7. Gouvernance, formation et support</w:t>
            </w:r>
          </w:p>
        </w:tc>
        <w:tc>
          <w:tcPr>
            <w:tcW w:type="dxa" w:w="960"/>
            <w:vAlign w:val="center"/>
            <w:tcBorders>
              <w:top w:val="single" w:sz="2" w:color="E4ECE5"/>
              <w:left w:val="single" w:sz="2" w:color="E4ECE5"/>
              <w:bottom w:val="single" w:sz="2" w:color="E4ECE5"/>
              <w:right w:val="single" w:sz="2" w:color="E4ECE5"/>
              <w:insideH w:val="single" w:sz="2" w:color="E4ECE5"/>
              <w:insideV w:val="single" w:sz="2" w:color="E4ECE5"/>
            </w:tcBorders>
            <w:shd w:fill="FFFFFF"/>
            <w:tcMar>
              <w:top w:w="80" w:type="dxa"/>
              <w:bottom w:w="80" w:type="dxa"/>
              <w:start w:w="120" w:type="dxa"/>
              <w:end w:w="120" w:type="dxa"/>
            </w:tcMar>
          </w:tcPr>
          <w:p>
            <w:pPr>
              <w:spacing w:before="0" w:after="0" w:line="276" w:lineRule="auto"/>
              <w:jc w:val="right"/>
            </w:pPr>
            <w:r>
              <w:rPr>
                <w:rFonts w:ascii="Calibri" w:hAnsi="Calibri" w:eastAsia="Calibri"/>
                <w:b/>
                <w:color w:val="234E2B"/>
                <w:sz w:val="20"/>
              </w:rPr>
              <w:t>10</w:t>
            </w:r>
          </w:p>
        </w:tc>
      </w:tr>
      <w:tr>
        <w:trPr/>
        <w:tc>
          <w:tcPr>
            <w:tcW w:type="dxa" w:w="8400"/>
            <w:vAlign w:val="center"/>
            <w:tcBorders>
              <w:top w:val="single" w:sz="2" w:color="E4ECE5"/>
              <w:left w:val="single" w:sz="2" w:color="E4ECE5"/>
              <w:bottom w:val="single" w:sz="2" w:color="E4ECE5"/>
              <w:right w:val="single" w:sz="2" w:color="E4ECE5"/>
              <w:insideH w:val="single" w:sz="2" w:color="E4ECE5"/>
              <w:insideV w:val="single" w:sz="2" w:color="E4ECE5"/>
            </w:tcBorders>
            <w:shd w:fill="F3F7F3"/>
            <w:tcMar>
              <w:top w:w="80" w:type="dxa"/>
              <w:bottom w:w="80" w:type="dxa"/>
              <w:start w:w="120" w:type="dxa"/>
              <w:end w:w="120" w:type="dxa"/>
            </w:tcMar>
          </w:tcPr>
          <w:p>
            <w:pPr>
              <w:spacing w:before="0" w:after="0" w:line="276" w:lineRule="auto"/>
              <w:jc w:val="left"/>
            </w:pPr>
            <w:r>
              <w:rPr>
                <w:rFonts w:ascii="Calibri" w:hAnsi="Calibri" w:eastAsia="Calibri"/>
                <w:b w:val="0"/>
                <w:color w:val="17251C"/>
                <w:sz w:val="20"/>
              </w:rPr>
              <w:t>8. Offre financière</w:t>
            </w:r>
          </w:p>
        </w:tc>
        <w:tc>
          <w:tcPr>
            <w:tcW w:type="dxa" w:w="960"/>
            <w:vAlign w:val="center"/>
            <w:tcBorders>
              <w:top w:val="single" w:sz="2" w:color="E4ECE5"/>
              <w:left w:val="single" w:sz="2" w:color="E4ECE5"/>
              <w:bottom w:val="single" w:sz="2" w:color="E4ECE5"/>
              <w:right w:val="single" w:sz="2" w:color="E4ECE5"/>
              <w:insideH w:val="single" w:sz="2" w:color="E4ECE5"/>
              <w:insideV w:val="single" w:sz="2" w:color="E4ECE5"/>
            </w:tcBorders>
            <w:shd w:fill="F3F7F3"/>
            <w:tcMar>
              <w:top w:w="80" w:type="dxa"/>
              <w:bottom w:w="80" w:type="dxa"/>
              <w:start w:w="120" w:type="dxa"/>
              <w:end w:w="120" w:type="dxa"/>
            </w:tcMar>
          </w:tcPr>
          <w:p>
            <w:pPr>
              <w:spacing w:before="0" w:after="0" w:line="276" w:lineRule="auto"/>
              <w:jc w:val="right"/>
            </w:pPr>
            <w:r>
              <w:rPr>
                <w:rFonts w:ascii="Calibri" w:hAnsi="Calibri" w:eastAsia="Calibri"/>
                <w:b/>
                <w:color w:val="234E2B"/>
                <w:sz w:val="20"/>
              </w:rPr>
              <w:t>11</w:t>
            </w:r>
          </w:p>
        </w:tc>
      </w:tr>
      <w:tr>
        <w:trPr/>
        <w:tc>
          <w:tcPr>
            <w:tcW w:type="dxa" w:w="8400"/>
            <w:vAlign w:val="center"/>
            <w:tcBorders>
              <w:top w:val="single" w:sz="2" w:color="E4ECE5"/>
              <w:left w:val="single" w:sz="2" w:color="E4ECE5"/>
              <w:bottom w:val="single" w:sz="2" w:color="E4ECE5"/>
              <w:right w:val="single" w:sz="2" w:color="E4ECE5"/>
              <w:insideH w:val="single" w:sz="2" w:color="E4ECE5"/>
              <w:insideV w:val="single" w:sz="2" w:color="E4ECE5"/>
            </w:tcBorders>
            <w:shd w:fill="FFFFFF"/>
            <w:tcMar>
              <w:top w:w="80" w:type="dxa"/>
              <w:bottom w:w="80" w:type="dxa"/>
              <w:start w:w="120" w:type="dxa"/>
              <w:end w:w="120" w:type="dxa"/>
            </w:tcMar>
          </w:tcPr>
          <w:p>
            <w:pPr>
              <w:spacing w:before="0" w:after="0" w:line="276" w:lineRule="auto"/>
              <w:jc w:val="left"/>
            </w:pPr>
            <w:r>
              <w:rPr>
                <w:rFonts w:ascii="Calibri" w:hAnsi="Calibri" w:eastAsia="Calibri"/>
                <w:b w:val="0"/>
                <w:color w:val="17251C"/>
                <w:sz w:val="20"/>
              </w:rPr>
              <w:t>9. Hypothèses, exclusions et conditions</w:t>
            </w:r>
          </w:p>
        </w:tc>
        <w:tc>
          <w:tcPr>
            <w:tcW w:type="dxa" w:w="960"/>
            <w:vAlign w:val="center"/>
            <w:tcBorders>
              <w:top w:val="single" w:sz="2" w:color="E4ECE5"/>
              <w:left w:val="single" w:sz="2" w:color="E4ECE5"/>
              <w:bottom w:val="single" w:sz="2" w:color="E4ECE5"/>
              <w:right w:val="single" w:sz="2" w:color="E4ECE5"/>
              <w:insideH w:val="single" w:sz="2" w:color="E4ECE5"/>
              <w:insideV w:val="single" w:sz="2" w:color="E4ECE5"/>
            </w:tcBorders>
            <w:shd w:fill="FFFFFF"/>
            <w:tcMar>
              <w:top w:w="80" w:type="dxa"/>
              <w:bottom w:w="80" w:type="dxa"/>
              <w:start w:w="120" w:type="dxa"/>
              <w:end w:w="120" w:type="dxa"/>
            </w:tcMar>
          </w:tcPr>
          <w:p>
            <w:pPr>
              <w:spacing w:before="0" w:after="0" w:line="276" w:lineRule="auto"/>
              <w:jc w:val="right"/>
            </w:pPr>
            <w:r>
              <w:rPr>
                <w:rFonts w:ascii="Calibri" w:hAnsi="Calibri" w:eastAsia="Calibri"/>
                <w:b/>
                <w:color w:val="234E2B"/>
                <w:sz w:val="20"/>
              </w:rPr>
              <w:t>13</w:t>
            </w:r>
          </w:p>
        </w:tc>
      </w:tr>
      <w:tr>
        <w:trPr/>
        <w:tc>
          <w:tcPr>
            <w:tcW w:type="dxa" w:w="8400"/>
            <w:vAlign w:val="center"/>
            <w:tcBorders>
              <w:top w:val="single" w:sz="2" w:color="E4ECE5"/>
              <w:left w:val="single" w:sz="2" w:color="E4ECE5"/>
              <w:bottom w:val="single" w:sz="2" w:color="E4ECE5"/>
              <w:right w:val="single" w:sz="2" w:color="E4ECE5"/>
              <w:insideH w:val="single" w:sz="2" w:color="E4ECE5"/>
              <w:insideV w:val="single" w:sz="2" w:color="E4ECE5"/>
            </w:tcBorders>
            <w:shd w:fill="F3F7F3"/>
            <w:tcMar>
              <w:top w:w="80" w:type="dxa"/>
              <w:bottom w:w="80" w:type="dxa"/>
              <w:start w:w="120" w:type="dxa"/>
              <w:end w:w="120" w:type="dxa"/>
            </w:tcMar>
          </w:tcPr>
          <w:p>
            <w:pPr>
              <w:spacing w:before="0" w:after="0" w:line="276" w:lineRule="auto"/>
              <w:jc w:val="left"/>
            </w:pPr>
            <w:r>
              <w:rPr>
                <w:rFonts w:ascii="Calibri" w:hAnsi="Calibri" w:eastAsia="Calibri"/>
                <w:b w:val="0"/>
                <w:color w:val="17251C"/>
                <w:sz w:val="20"/>
              </w:rPr>
              <w:t>10. Prochaines étapes et bon pour accord</w:t>
            </w:r>
          </w:p>
        </w:tc>
        <w:tc>
          <w:tcPr>
            <w:tcW w:type="dxa" w:w="960"/>
            <w:vAlign w:val="center"/>
            <w:tcBorders>
              <w:top w:val="single" w:sz="2" w:color="E4ECE5"/>
              <w:left w:val="single" w:sz="2" w:color="E4ECE5"/>
              <w:bottom w:val="single" w:sz="2" w:color="E4ECE5"/>
              <w:right w:val="single" w:sz="2" w:color="E4ECE5"/>
              <w:insideH w:val="single" w:sz="2" w:color="E4ECE5"/>
              <w:insideV w:val="single" w:sz="2" w:color="E4ECE5"/>
            </w:tcBorders>
            <w:shd w:fill="F3F7F3"/>
            <w:tcMar>
              <w:top w:w="80" w:type="dxa"/>
              <w:bottom w:w="80" w:type="dxa"/>
              <w:start w:w="120" w:type="dxa"/>
              <w:end w:w="120" w:type="dxa"/>
            </w:tcMar>
          </w:tcPr>
          <w:p>
            <w:pPr>
              <w:spacing w:before="0" w:after="0" w:line="276" w:lineRule="auto"/>
              <w:jc w:val="right"/>
            </w:pPr>
            <w:r>
              <w:rPr>
                <w:rFonts w:ascii="Calibri" w:hAnsi="Calibri" w:eastAsia="Calibri"/>
                <w:b/>
                <w:color w:val="234E2B"/>
                <w:sz w:val="20"/>
              </w:rPr>
              <w:t>14</w:t>
            </w:r>
          </w:p>
        </w:tc>
      </w:tr>
    </w:tbl>
    <w:p>
      <w:pPr>
        <w:spacing w:after="40"/>
      </w:pPr>
    </w:p>
    <w:p>
      <w:pPr>
        <w:spacing w:before="120" w:after="200" w:line="288" w:lineRule="auto"/>
        <w:ind w:left="202" w:right="115"/>
        <w:shd w:fill="EFF4DA"/>
        <w:pBdr>
          <w:left w:val="single" w:sz="18" w:space="10" w:color="397443"/>
        </w:pBdr>
        <w:keepLines/>
      </w:pPr>
      <w:r>
        <w:rPr>
          <w:rFonts w:ascii="Calibri" w:hAnsi="Calibri" w:eastAsia="Calibri"/>
          <w:b/>
          <w:color w:val="234E2B"/>
          <w:sz w:val="20"/>
        </w:rPr>
        <w:t xml:space="preserve">REPÈRES CLÉS  </w:t>
      </w:r>
      <w:r>
        <w:rPr>
          <w:rFonts w:ascii="Calibri" w:hAnsi="Calibri" w:eastAsia="Calibri"/>
          <w:b w:val="0"/>
          <w:color w:val="17251C"/>
          <w:sz w:val="21"/>
        </w:rPr>
        <w:t>Budget projet : 36 850 000 FCFA HT  •  Délai : 24 semaines  •  Dimensionnement initial : 50 utilisateurs et 5 sites  •  Hypercare : 4 semaines.</w:t>
      </w:r>
    </w:p>
    <w:p>
      <w:pPr>
        <w:pStyle w:val="Heading1"/>
        <w:keepNext/>
      </w:pPr>
      <w:r>
        <w:t>1. Synthèse exécutive</w:t>
      </w:r>
    </w:p>
    <w:p>
      <w:pPr>
        <w:spacing w:after="240" w:line="300" w:lineRule="auto"/>
        <w:keepLines/>
      </w:pPr>
      <w:r>
        <w:rPr>
          <w:rFonts w:ascii="Calibri" w:hAnsi="Calibri" w:eastAsia="Calibri"/>
          <w:i/>
          <w:color w:val="526159"/>
          <w:sz w:val="24"/>
        </w:rPr>
        <w:t>OLIVE DANAROY a besoin d’un système unique capable d’accompagner la diversité de ses métiers sans multiplier les outils ni les doubles saisies.</w:t>
      </w:r>
    </w:p>
    <w:p>
      <w:pPr>
        <w:spacing w:before="120" w:after="200" w:line="288" w:lineRule="auto"/>
        <w:ind w:left="202" w:right="115"/>
        <w:shd w:fill="E6EFE7"/>
        <w:pBdr>
          <w:left w:val="single" w:sz="18" w:space="10" w:color="9DB43B"/>
        </w:pBdr>
        <w:keepLines/>
      </w:pPr>
      <w:r>
        <w:rPr>
          <w:rFonts w:ascii="Calibri" w:hAnsi="Calibri" w:eastAsia="Calibri"/>
          <w:b/>
          <w:color w:val="234E2B"/>
          <w:sz w:val="20"/>
        </w:rPr>
        <w:t xml:space="preserve">RECOMMANDATION  </w:t>
      </w:r>
      <w:r>
        <w:rPr>
          <w:rFonts w:ascii="Calibri" w:hAnsi="Calibri" w:eastAsia="Calibri"/>
          <w:b w:val="0"/>
          <w:color w:val="17251C"/>
          <w:sz w:val="21"/>
        </w:rPr>
        <w:t>Déployer un ERP modulaire autour d’un socle commun — ventes, achats, stocks, finance, RH, documents et tableaux de bord — puis activer les fonctions propres au BTP, au transport, au restaurant, aux salles événementielles, au lavage automobile, au traiteur et aux résidences.</w:t>
      </w:r>
    </w:p>
    <w:p>
      <w:pPr>
        <w:spacing w:after="160" w:line="320" w:lineRule="auto"/>
        <w:jc w:val="both"/>
        <w:keepLines/>
      </w:pPr>
      <w:r>
        <w:rPr>
          <w:rFonts w:ascii="Calibri" w:hAnsi="Calibri" w:eastAsia="Calibri"/>
          <w:i w:val="0"/>
          <w:color w:val="17251C"/>
          <w:sz w:val="22"/>
        </w:rPr>
        <w:t>L’objectif est de remplacer les fichiers dispersés et les suivis manuels par une base de données centralisée, des circuits de validation, une traçabilité complète et une lecture fiable de la rentabilité par activité, site, projet et client.</w:t>
      </w:r>
    </w:p>
    <w:tbl>
      <w:tblPr>
        <w:tblW w:type="dxa" w:w="9360"/>
        <w:jc w:val="left"/>
        <w:tblLayout w:type="fixed"/>
        <w:tblLook w:firstColumn="1" w:firstRow="1" w:lastColumn="0" w:lastRow="0" w:noHBand="0" w:noVBand="1" w:val="04A0"/>
        <w:tblInd w:type="dxa" w:w="120"/>
      </w:tblPr>
      <w:tblGrid>
        <w:gridCol w:w="2340"/>
        <w:gridCol w:w="2340"/>
        <w:gridCol w:w="2340"/>
        <w:gridCol w:w="2340"/>
      </w:tblGrid>
      <w:tr>
        <w:trPr>
          <w:tblHeader w:val="true"/>
        </w:trPr>
        <w:tc>
          <w:tcPr>
            <w:tcW w:type="dxa" w:w="2340"/>
            <w:vAlign w:val="center"/>
            <w:tcBorders>
              <w:top w:val="single" w:sz="4" w:color="D8E3D9"/>
              <w:left w:val="single" w:sz="4" w:color="D8E3D9"/>
              <w:bottom w:val="single" w:sz="4" w:color="D8E3D9"/>
              <w:right w:val="single" w:sz="4" w:color="D8E3D9"/>
              <w:insideH w:val="single" w:sz="4" w:color="D8E3D9"/>
              <w:insideV w:val="single" w:sz="4" w:color="D8E3D9"/>
            </w:tcBorders>
            <w:shd w:fill="234E2B"/>
            <w:tcMar>
              <w:top w:w="80" w:type="dxa"/>
              <w:bottom w:w="80" w:type="dxa"/>
              <w:start w:w="120" w:type="dxa"/>
              <w:end w:w="120" w:type="dxa"/>
            </w:tcMar>
          </w:tcPr>
          <w:p>
            <w:pPr>
              <w:spacing w:before="0" w:after="0" w:line="276" w:lineRule="auto"/>
              <w:jc w:val="center"/>
            </w:pPr>
            <w:r>
              <w:rPr>
                <w:rFonts w:ascii="Calibri" w:hAnsi="Calibri" w:eastAsia="Calibri"/>
                <w:b/>
                <w:color w:val="E9D928"/>
                <w:sz w:val="22"/>
              </w:rPr>
              <w:t>24 SEMAINES</w:t>
            </w:r>
          </w:p>
        </w:tc>
        <w:tc>
          <w:tcPr>
            <w:tcW w:type="dxa" w:w="2340"/>
            <w:vAlign w:val="center"/>
            <w:tcBorders>
              <w:top w:val="single" w:sz="4" w:color="D8E3D9"/>
              <w:left w:val="single" w:sz="4" w:color="D8E3D9"/>
              <w:bottom w:val="single" w:sz="4" w:color="D8E3D9"/>
              <w:right w:val="single" w:sz="4" w:color="D8E3D9"/>
              <w:insideH w:val="single" w:sz="4" w:color="D8E3D9"/>
              <w:insideV w:val="single" w:sz="4" w:color="D8E3D9"/>
            </w:tcBorders>
            <w:shd w:fill="234E2B"/>
            <w:tcMar>
              <w:top w:w="80" w:type="dxa"/>
              <w:bottom w:w="80" w:type="dxa"/>
              <w:start w:w="120" w:type="dxa"/>
              <w:end w:w="120" w:type="dxa"/>
            </w:tcMar>
          </w:tcPr>
          <w:p>
            <w:pPr>
              <w:spacing w:before="0" w:after="0" w:line="276" w:lineRule="auto"/>
              <w:jc w:val="center"/>
            </w:pPr>
            <w:r>
              <w:rPr>
                <w:rFonts w:ascii="Calibri" w:hAnsi="Calibri" w:eastAsia="Calibri"/>
                <w:b/>
                <w:color w:val="E9D928"/>
                <w:sz w:val="22"/>
              </w:rPr>
              <w:t>50 UTILISATEURS</w:t>
            </w:r>
          </w:p>
        </w:tc>
        <w:tc>
          <w:tcPr>
            <w:tcW w:type="dxa" w:w="2340"/>
            <w:vAlign w:val="center"/>
            <w:tcBorders>
              <w:top w:val="single" w:sz="4" w:color="D8E3D9"/>
              <w:left w:val="single" w:sz="4" w:color="D8E3D9"/>
              <w:bottom w:val="single" w:sz="4" w:color="D8E3D9"/>
              <w:right w:val="single" w:sz="4" w:color="D8E3D9"/>
              <w:insideH w:val="single" w:sz="4" w:color="D8E3D9"/>
              <w:insideV w:val="single" w:sz="4" w:color="D8E3D9"/>
            </w:tcBorders>
            <w:shd w:fill="234E2B"/>
            <w:tcMar>
              <w:top w:w="80" w:type="dxa"/>
              <w:bottom w:w="80" w:type="dxa"/>
              <w:start w:w="120" w:type="dxa"/>
              <w:end w:w="120" w:type="dxa"/>
            </w:tcMar>
          </w:tcPr>
          <w:p>
            <w:pPr>
              <w:spacing w:before="0" w:after="0" w:line="276" w:lineRule="auto"/>
              <w:jc w:val="center"/>
            </w:pPr>
            <w:r>
              <w:rPr>
                <w:rFonts w:ascii="Calibri" w:hAnsi="Calibri" w:eastAsia="Calibri"/>
                <w:b/>
                <w:color w:val="E9D928"/>
                <w:sz w:val="22"/>
              </w:rPr>
              <w:t>5 SITES</w:t>
            </w:r>
          </w:p>
        </w:tc>
        <w:tc>
          <w:tcPr>
            <w:tcW w:type="dxa" w:w="2340"/>
            <w:vAlign w:val="center"/>
            <w:tcBorders>
              <w:top w:val="single" w:sz="4" w:color="D8E3D9"/>
              <w:left w:val="single" w:sz="4" w:color="D8E3D9"/>
              <w:bottom w:val="single" w:sz="4" w:color="D8E3D9"/>
              <w:right w:val="single" w:sz="4" w:color="D8E3D9"/>
              <w:insideH w:val="single" w:sz="4" w:color="D8E3D9"/>
              <w:insideV w:val="single" w:sz="4" w:color="D8E3D9"/>
            </w:tcBorders>
            <w:shd w:fill="234E2B"/>
            <w:tcMar>
              <w:top w:w="80" w:type="dxa"/>
              <w:bottom w:w="80" w:type="dxa"/>
              <w:start w:w="120" w:type="dxa"/>
              <w:end w:w="120" w:type="dxa"/>
            </w:tcMar>
          </w:tcPr>
          <w:p>
            <w:pPr>
              <w:spacing w:before="0" w:after="0" w:line="276" w:lineRule="auto"/>
              <w:jc w:val="center"/>
            </w:pPr>
            <w:r>
              <w:rPr>
                <w:rFonts w:ascii="Calibri" w:hAnsi="Calibri" w:eastAsia="Calibri"/>
                <w:b/>
                <w:color w:val="E9D928"/>
                <w:sz w:val="22"/>
              </w:rPr>
              <w:t>4 SEMAINES</w:t>
            </w:r>
          </w:p>
        </w:tc>
      </w:tr>
      <w:tr>
        <w:trPr/>
        <w:tc>
          <w:tcPr>
            <w:tcW w:type="dxa" w:w="2340"/>
            <w:vAlign w:val="center"/>
            <w:tcBorders>
              <w:top w:val="single" w:sz="4" w:color="D8E3D9"/>
              <w:left w:val="single" w:sz="4" w:color="D8E3D9"/>
              <w:bottom w:val="single" w:sz="4" w:color="D8E3D9"/>
              <w:right w:val="single" w:sz="4" w:color="D8E3D9"/>
              <w:insideH w:val="single" w:sz="4" w:color="D8E3D9"/>
              <w:insideV w:val="single" w:sz="4" w:color="D8E3D9"/>
            </w:tcBorders>
            <w:shd w:fill="FFFFFF"/>
            <w:tcMar>
              <w:top w:w="80" w:type="dxa"/>
              <w:bottom w:w="80" w:type="dxa"/>
              <w:start w:w="120" w:type="dxa"/>
              <w:end w:w="120" w:type="dxa"/>
            </w:tcMar>
          </w:tcPr>
          <w:p>
            <w:pPr>
              <w:spacing w:before="0" w:after="0" w:line="276" w:lineRule="auto"/>
              <w:jc w:val="center"/>
            </w:pPr>
            <w:r>
              <w:rPr>
                <w:rFonts w:ascii="Calibri" w:hAnsi="Calibri" w:eastAsia="Calibri"/>
                <w:b w:val="0"/>
                <w:color w:val="17251C"/>
                <w:sz w:val="18"/>
              </w:rPr>
              <w:t>Cadrage à mise en production</w:t>
            </w:r>
          </w:p>
        </w:tc>
        <w:tc>
          <w:tcPr>
            <w:tcW w:type="dxa" w:w="2340"/>
            <w:vAlign w:val="center"/>
            <w:tcBorders>
              <w:top w:val="single" w:sz="4" w:color="D8E3D9"/>
              <w:left w:val="single" w:sz="4" w:color="D8E3D9"/>
              <w:bottom w:val="single" w:sz="4" w:color="D8E3D9"/>
              <w:right w:val="single" w:sz="4" w:color="D8E3D9"/>
              <w:insideH w:val="single" w:sz="4" w:color="D8E3D9"/>
              <w:insideV w:val="single" w:sz="4" w:color="D8E3D9"/>
            </w:tcBorders>
            <w:shd w:fill="FFFFFF"/>
            <w:tcMar>
              <w:top w:w="80" w:type="dxa"/>
              <w:bottom w:w="80" w:type="dxa"/>
              <w:start w:w="120" w:type="dxa"/>
              <w:end w:w="120" w:type="dxa"/>
            </w:tcMar>
          </w:tcPr>
          <w:p>
            <w:pPr>
              <w:spacing w:before="0" w:after="0" w:line="276" w:lineRule="auto"/>
              <w:jc w:val="center"/>
            </w:pPr>
            <w:r>
              <w:rPr>
                <w:rFonts w:ascii="Calibri" w:hAnsi="Calibri" w:eastAsia="Calibri"/>
                <w:b w:val="0"/>
                <w:color w:val="17251C"/>
                <w:sz w:val="18"/>
              </w:rPr>
              <w:t>Hypothèse initiale</w:t>
            </w:r>
          </w:p>
        </w:tc>
        <w:tc>
          <w:tcPr>
            <w:tcW w:type="dxa" w:w="2340"/>
            <w:vAlign w:val="center"/>
            <w:tcBorders>
              <w:top w:val="single" w:sz="4" w:color="D8E3D9"/>
              <w:left w:val="single" w:sz="4" w:color="D8E3D9"/>
              <w:bottom w:val="single" w:sz="4" w:color="D8E3D9"/>
              <w:right w:val="single" w:sz="4" w:color="D8E3D9"/>
              <w:insideH w:val="single" w:sz="4" w:color="D8E3D9"/>
              <w:insideV w:val="single" w:sz="4" w:color="D8E3D9"/>
            </w:tcBorders>
            <w:shd w:fill="FFFFFF"/>
            <w:tcMar>
              <w:top w:w="80" w:type="dxa"/>
              <w:bottom w:w="80" w:type="dxa"/>
              <w:start w:w="120" w:type="dxa"/>
              <w:end w:w="120" w:type="dxa"/>
            </w:tcMar>
          </w:tcPr>
          <w:p>
            <w:pPr>
              <w:spacing w:before="0" w:after="0" w:line="276" w:lineRule="auto"/>
              <w:jc w:val="center"/>
            </w:pPr>
            <w:r>
              <w:rPr>
                <w:rFonts w:ascii="Calibri" w:hAnsi="Calibri" w:eastAsia="Calibri"/>
                <w:b w:val="0"/>
                <w:color w:val="17251C"/>
                <w:sz w:val="18"/>
              </w:rPr>
              <w:t>Dimensionnement initial</w:t>
            </w:r>
          </w:p>
        </w:tc>
        <w:tc>
          <w:tcPr>
            <w:tcW w:type="dxa" w:w="2340"/>
            <w:vAlign w:val="center"/>
            <w:tcBorders>
              <w:top w:val="single" w:sz="4" w:color="D8E3D9"/>
              <w:left w:val="single" w:sz="4" w:color="D8E3D9"/>
              <w:bottom w:val="single" w:sz="4" w:color="D8E3D9"/>
              <w:right w:val="single" w:sz="4" w:color="D8E3D9"/>
              <w:insideH w:val="single" w:sz="4" w:color="D8E3D9"/>
              <w:insideV w:val="single" w:sz="4" w:color="D8E3D9"/>
            </w:tcBorders>
            <w:shd w:fill="FFFFFF"/>
            <w:tcMar>
              <w:top w:w="80" w:type="dxa"/>
              <w:bottom w:w="80" w:type="dxa"/>
              <w:start w:w="120" w:type="dxa"/>
              <w:end w:w="120" w:type="dxa"/>
            </w:tcMar>
          </w:tcPr>
          <w:p>
            <w:pPr>
              <w:spacing w:before="0" w:after="0" w:line="276" w:lineRule="auto"/>
              <w:jc w:val="center"/>
            </w:pPr>
            <w:r>
              <w:rPr>
                <w:rFonts w:ascii="Calibri" w:hAnsi="Calibri" w:eastAsia="Calibri"/>
                <w:b w:val="0"/>
                <w:color w:val="17251C"/>
                <w:sz w:val="18"/>
              </w:rPr>
              <w:t>Hypercare inclus</w:t>
            </w:r>
          </w:p>
        </w:tc>
      </w:tr>
    </w:tbl>
    <w:p>
      <w:pPr>
        <w:spacing w:after="40"/>
      </w:pPr>
    </w:p>
    <w:p>
      <w:pPr>
        <w:spacing w:before="120" w:after="200" w:line="288" w:lineRule="auto"/>
        <w:ind w:left="202" w:right="115"/>
        <w:shd w:fill="EFF4DA"/>
        <w:pBdr>
          <w:left w:val="single" w:sz="18" w:space="10" w:color="397443"/>
        </w:pBdr>
        <w:keepLines/>
      </w:pPr>
      <w:r>
        <w:rPr>
          <w:rFonts w:ascii="Calibri" w:hAnsi="Calibri" w:eastAsia="Calibri"/>
          <w:b/>
          <w:color w:val="234E2B"/>
          <w:sz w:val="20"/>
        </w:rPr>
        <w:t xml:space="preserve">BUDGET INDICATIF  </w:t>
      </w:r>
      <w:r>
        <w:rPr>
          <w:rFonts w:ascii="Calibri" w:hAnsi="Calibri" w:eastAsia="Calibri"/>
          <w:b w:val="0"/>
          <w:color w:val="17251C"/>
          <w:sz w:val="21"/>
        </w:rPr>
        <w:t>36 850 000 FCFA HT pour la conception, le développement, la migration, la formation, le déploiement et quatre semaines d’accompagnement renforcé. Les frais récurrents et services tiers sont présentés séparément.</w:t>
      </w:r>
    </w:p>
    <w:p>
      <w:pPr>
        <w:pStyle w:val="Heading1"/>
        <w:keepNext/>
      </w:pPr>
      <w:r>
        <w:t>2. Contexte, enjeux et périmètre</w:t>
      </w:r>
    </w:p>
    <w:p>
      <w:pPr>
        <w:spacing w:after="240" w:line="300" w:lineRule="auto"/>
        <w:keepLines/>
      </w:pPr>
      <w:r>
        <w:rPr>
          <w:rFonts w:ascii="Calibri" w:hAnsi="Calibri" w:eastAsia="Calibri"/>
          <w:i/>
          <w:color w:val="526159"/>
          <w:sz w:val="24"/>
        </w:rPr>
        <w:t>Le dossier technique de l’entreprise présente une organisation multisectorielle : BTP, communication, informatique, transport, bureautique et services divers.</w:t>
      </w:r>
    </w:p>
    <w:p>
      <w:pPr>
        <w:spacing w:after="160" w:line="320" w:lineRule="auto"/>
        <w:jc w:val="both"/>
        <w:keepLines/>
      </w:pPr>
      <w:r>
        <w:rPr>
          <w:rFonts w:ascii="Calibri" w:hAnsi="Calibri" w:eastAsia="Calibri"/>
          <w:i w:val="0"/>
          <w:color w:val="17251C"/>
          <w:sz w:val="22"/>
        </w:rPr>
        <w:t>La solution proposée couvre les domaines existants et les nouvelles activités explicitement demandées : gestion du restaurant, location de salles événementielles et lavage automobile. Le traiteur et la location de résidences, également mentionnés dans le dossier, sont intégrés au périmètre fonctionnel.</w:t>
      </w:r>
    </w:p>
    <w:p>
      <w:pPr>
        <w:pStyle w:val="Heading2"/>
        <w:keepNext/>
      </w:pPr>
      <w:r>
        <w:t>2.1 Enjeux de gestion</w:t>
      </w:r>
    </w:p>
    <w:p>
      <w:pPr>
        <w:spacing w:before="0" w:after="80" w:line="290" w:lineRule="auto"/>
        <w:jc w:val="left"/>
        <w:numPr>
          <w:ilvl w:val="0"/>
          <w:numId w:val="10"/>
        </w:numPr>
      </w:pPr>
      <w:r>
        <w:rPr>
          <w:rFonts w:ascii="Calibri" w:hAnsi="Calibri" w:eastAsia="Calibri"/>
          <w:b/>
          <w:color w:val="17251C"/>
          <w:sz w:val="22"/>
        </w:rPr>
        <w:t>Centraliser</w:t>
      </w:r>
      <w:r>
        <w:rPr>
          <w:rFonts w:ascii="Calibri" w:hAnsi="Calibri" w:eastAsia="Calibri"/>
          <w:color w:val="17251C"/>
          <w:sz w:val="22"/>
        </w:rPr>
        <w:t xml:space="preserve"> les référentiels clients, fournisseurs, articles, collaborateurs, caisses, banques et centres de coûts.</w:t>
      </w:r>
    </w:p>
    <w:p>
      <w:pPr>
        <w:spacing w:before="0" w:after="80" w:line="290" w:lineRule="auto"/>
        <w:jc w:val="left"/>
        <w:numPr>
          <w:ilvl w:val="0"/>
          <w:numId w:val="10"/>
        </w:numPr>
      </w:pPr>
      <w:r>
        <w:rPr>
          <w:rFonts w:ascii="Calibri" w:hAnsi="Calibri" w:eastAsia="Calibri"/>
          <w:b/>
          <w:color w:val="17251C"/>
          <w:sz w:val="22"/>
        </w:rPr>
        <w:t>Fiabiliser</w:t>
      </w:r>
      <w:r>
        <w:rPr>
          <w:rFonts w:ascii="Calibri" w:hAnsi="Calibri" w:eastAsia="Calibri"/>
          <w:color w:val="17251C"/>
          <w:sz w:val="22"/>
        </w:rPr>
        <w:t xml:space="preserve"> les validations, les pièces justificatives, les encaissements, les dépenses et les stocks.</w:t>
      </w:r>
    </w:p>
    <w:p>
      <w:pPr>
        <w:spacing w:before="0" w:after="80" w:line="290" w:lineRule="auto"/>
        <w:jc w:val="left"/>
        <w:numPr>
          <w:ilvl w:val="0"/>
          <w:numId w:val="10"/>
        </w:numPr>
      </w:pPr>
      <w:r>
        <w:rPr>
          <w:rFonts w:ascii="Calibri" w:hAnsi="Calibri" w:eastAsia="Calibri"/>
          <w:b/>
          <w:color w:val="17251C"/>
          <w:sz w:val="22"/>
        </w:rPr>
        <w:t>Mesurer</w:t>
      </w:r>
      <w:r>
        <w:rPr>
          <w:rFonts w:ascii="Calibri" w:hAnsi="Calibri" w:eastAsia="Calibri"/>
          <w:color w:val="17251C"/>
          <w:sz w:val="22"/>
        </w:rPr>
        <w:t xml:space="preserve"> la rentabilité par chantier, commande, trajet, événement, salle, plat, véhicule et site.</w:t>
      </w:r>
    </w:p>
    <w:p>
      <w:pPr>
        <w:spacing w:before="0" w:after="80" w:line="290" w:lineRule="auto"/>
        <w:jc w:val="left"/>
        <w:numPr>
          <w:ilvl w:val="0"/>
          <w:numId w:val="10"/>
        </w:numPr>
      </w:pPr>
      <w:r>
        <w:rPr>
          <w:rFonts w:ascii="Calibri" w:hAnsi="Calibri" w:eastAsia="Calibri"/>
          <w:b/>
          <w:color w:val="17251C"/>
          <w:sz w:val="22"/>
        </w:rPr>
        <w:t>Accélérer</w:t>
      </w:r>
      <w:r>
        <w:rPr>
          <w:rFonts w:ascii="Calibri" w:hAnsi="Calibri" w:eastAsia="Calibri"/>
          <w:color w:val="17251C"/>
          <w:sz w:val="22"/>
        </w:rPr>
        <w:t xml:space="preserve"> la facturation, le recouvrement, les clôtures de caisse et la production de rapports.</w:t>
      </w:r>
    </w:p>
    <w:p>
      <w:pPr>
        <w:spacing w:before="0" w:after="80" w:line="290" w:lineRule="auto"/>
        <w:jc w:val="left"/>
        <w:numPr>
          <w:ilvl w:val="0"/>
          <w:numId w:val="10"/>
        </w:numPr>
      </w:pPr>
      <w:r>
        <w:rPr>
          <w:rFonts w:ascii="Calibri" w:hAnsi="Calibri" w:eastAsia="Calibri"/>
          <w:b/>
          <w:color w:val="17251C"/>
          <w:sz w:val="22"/>
        </w:rPr>
        <w:t>Sécuriser</w:t>
      </w:r>
      <w:r>
        <w:rPr>
          <w:rFonts w:ascii="Calibri" w:hAnsi="Calibri" w:eastAsia="Calibri"/>
          <w:color w:val="17251C"/>
          <w:sz w:val="22"/>
        </w:rPr>
        <w:t xml:space="preserve"> les accès, les sauvegardes, les responsabilités et la piste d’audit.</w:t>
      </w:r>
    </w:p>
    <w:p>
      <w:pPr>
        <w:pStyle w:val="Heading2"/>
        <w:keepNext/>
      </w:pPr>
      <w:r>
        <w:t>2.2 Activités couvertes</w:t>
      </w:r>
    </w:p>
    <w:p>
      <w:pPr>
        <w:spacing w:before="0" w:after="80" w:line="290" w:lineRule="auto"/>
        <w:jc w:val="left"/>
        <w:numPr>
          <w:ilvl w:val="0"/>
          <w:numId w:val="10"/>
        </w:numPr>
      </w:pPr>
      <w:r>
        <w:rPr>
          <w:rFonts w:ascii="Calibri" w:hAnsi="Calibri" w:eastAsia="Calibri"/>
          <w:color w:val="17251C"/>
          <w:sz w:val="22"/>
        </w:rPr>
        <w:t>Bâtiments et travaux publics : construction, rénovation, réhabilitation, démolition, voirie et canalisation.</w:t>
      </w:r>
    </w:p>
    <w:p>
      <w:pPr>
        <w:spacing w:before="0" w:after="80" w:line="290" w:lineRule="auto"/>
        <w:jc w:val="left"/>
        <w:numPr>
          <w:ilvl w:val="0"/>
          <w:numId w:val="10"/>
        </w:numPr>
      </w:pPr>
      <w:r>
        <w:rPr>
          <w:rFonts w:ascii="Calibri" w:hAnsi="Calibri" w:eastAsia="Calibri"/>
          <w:color w:val="17251C"/>
          <w:sz w:val="22"/>
        </w:rPr>
        <w:t>Communication : conception, branding, enseignes, signalétique et impression.</w:t>
      </w:r>
    </w:p>
    <w:p>
      <w:pPr>
        <w:spacing w:before="0" w:after="80" w:line="290" w:lineRule="auto"/>
        <w:jc w:val="left"/>
        <w:numPr>
          <w:ilvl w:val="0"/>
          <w:numId w:val="10"/>
        </w:numPr>
      </w:pPr>
      <w:r>
        <w:rPr>
          <w:rFonts w:ascii="Calibri" w:hAnsi="Calibri" w:eastAsia="Calibri"/>
          <w:color w:val="17251C"/>
          <w:sz w:val="22"/>
        </w:rPr>
        <w:t>Informatique : matériels, consommables, logiciels métiers, réseaux, VPN et vidéosurveillance.</w:t>
      </w:r>
    </w:p>
    <w:p>
      <w:pPr>
        <w:spacing w:before="0" w:after="80" w:line="290" w:lineRule="auto"/>
        <w:jc w:val="left"/>
        <w:numPr>
          <w:ilvl w:val="0"/>
          <w:numId w:val="10"/>
        </w:numPr>
      </w:pPr>
      <w:r>
        <w:rPr>
          <w:rFonts w:ascii="Calibri" w:hAnsi="Calibri" w:eastAsia="Calibri"/>
          <w:color w:val="17251C"/>
          <w:sz w:val="22"/>
        </w:rPr>
        <w:t>Bureautique : équipements, mobilier, fournitures et aménagement de bureaux.</w:t>
      </w:r>
    </w:p>
    <w:p>
      <w:pPr>
        <w:spacing w:before="0" w:after="80" w:line="290" w:lineRule="auto"/>
        <w:jc w:val="left"/>
        <w:numPr>
          <w:ilvl w:val="0"/>
          <w:numId w:val="10"/>
        </w:numPr>
      </w:pPr>
      <w:r>
        <w:rPr>
          <w:rFonts w:ascii="Calibri" w:hAnsi="Calibri" w:eastAsia="Calibri"/>
          <w:color w:val="17251C"/>
          <w:sz w:val="22"/>
        </w:rPr>
        <w:t>Transport et logistique : enlèvement, livraison, location de véhicules et gestion de flotte.</w:t>
      </w:r>
    </w:p>
    <w:p>
      <w:pPr>
        <w:spacing w:before="0" w:after="80" w:line="290" w:lineRule="auto"/>
        <w:jc w:val="left"/>
        <w:numPr>
          <w:ilvl w:val="0"/>
          <w:numId w:val="10"/>
        </w:numPr>
      </w:pPr>
      <w:r>
        <w:rPr>
          <w:rFonts w:ascii="Calibri" w:hAnsi="Calibri" w:eastAsia="Calibri"/>
          <w:color w:val="17251C"/>
          <w:sz w:val="22"/>
        </w:rPr>
        <w:t>Restaurant et cafétéria : vente, cuisine, recettes, stock, réservations et caisse.</w:t>
      </w:r>
    </w:p>
    <w:p>
      <w:pPr>
        <w:spacing w:before="0" w:after="80" w:line="290" w:lineRule="auto"/>
        <w:jc w:val="left"/>
        <w:numPr>
          <w:ilvl w:val="0"/>
          <w:numId w:val="10"/>
        </w:numPr>
      </w:pPr>
      <w:r>
        <w:rPr>
          <w:rFonts w:ascii="Calibri" w:hAnsi="Calibri" w:eastAsia="Calibri"/>
          <w:color w:val="17251C"/>
          <w:sz w:val="22"/>
        </w:rPr>
        <w:t>Salles événementielles : disponibilités, devis, contrats, acomptes et prestations.</w:t>
      </w:r>
    </w:p>
    <w:p>
      <w:pPr>
        <w:spacing w:before="0" w:after="80" w:line="290" w:lineRule="auto"/>
        <w:jc w:val="left"/>
        <w:numPr>
          <w:ilvl w:val="0"/>
          <w:numId w:val="10"/>
        </w:numPr>
      </w:pPr>
      <w:r>
        <w:rPr>
          <w:rFonts w:ascii="Calibri" w:hAnsi="Calibri" w:eastAsia="Calibri"/>
          <w:color w:val="17251C"/>
          <w:sz w:val="22"/>
        </w:rPr>
        <w:t>Lavage automobile : tickets, forfaits, abonnements, postes, agents et caisse.</w:t>
      </w:r>
    </w:p>
    <w:p>
      <w:pPr>
        <w:spacing w:before="0" w:after="80" w:line="290" w:lineRule="auto"/>
        <w:jc w:val="left"/>
        <w:numPr>
          <w:ilvl w:val="0"/>
          <w:numId w:val="10"/>
        </w:numPr>
      </w:pPr>
      <w:r>
        <w:rPr>
          <w:rFonts w:ascii="Calibri" w:hAnsi="Calibri" w:eastAsia="Calibri"/>
          <w:color w:val="17251C"/>
          <w:sz w:val="22"/>
        </w:rPr>
        <w:t>Traiteur : devis, menus, besoins matières, production et marge par événement.</w:t>
      </w:r>
    </w:p>
    <w:p>
      <w:pPr>
        <w:spacing w:before="0" w:after="80" w:line="290" w:lineRule="auto"/>
        <w:jc w:val="left"/>
        <w:numPr>
          <w:ilvl w:val="0"/>
          <w:numId w:val="10"/>
        </w:numPr>
      </w:pPr>
      <w:r>
        <w:rPr>
          <w:rFonts w:ascii="Calibri" w:hAnsi="Calibri" w:eastAsia="Calibri"/>
          <w:color w:val="17251C"/>
          <w:sz w:val="22"/>
        </w:rPr>
        <w:t>Résidences : disponibilités, séjours, dépôts de garantie et facturation.</w:t>
      </w:r>
    </w:p>
    <w:p>
      <w:pPr>
        <w:pStyle w:val="Heading1"/>
        <w:keepNext/>
      </w:pPr>
      <w:r>
        <w:t>3. Offre fonctionnelle</w:t>
      </w:r>
    </w:p>
    <w:p>
      <w:pPr>
        <w:spacing w:after="240" w:line="300" w:lineRule="auto"/>
        <w:keepLines/>
      </w:pPr>
      <w:r>
        <w:rPr>
          <w:rFonts w:ascii="Calibri" w:hAnsi="Calibri" w:eastAsia="Calibri"/>
          <w:i/>
          <w:color w:val="526159"/>
          <w:sz w:val="24"/>
        </w:rPr>
        <w:t>Le principe directeur est simple : une donnée saisie une fois doit alimenter automatiquement les opérations, la trésorerie, la comptabilité et les tableaux de bord.</w:t>
      </w:r>
    </w:p>
    <w:p>
      <w:pPr>
        <w:pStyle w:val="Heading2"/>
        <w:keepNext/>
      </w:pPr>
      <w:r>
        <w:t>3.1 Socle transversal de l’ERP</w:t>
      </w:r>
    </w:p>
    <w:p>
      <w:pPr>
        <w:spacing w:before="0" w:after="80" w:line="290" w:lineRule="auto"/>
        <w:jc w:val="left"/>
        <w:numPr>
          <w:ilvl w:val="0"/>
          <w:numId w:val="10"/>
        </w:numPr>
      </w:pPr>
      <w:r>
        <w:rPr>
          <w:rFonts w:ascii="Calibri" w:hAnsi="Calibri" w:eastAsia="Calibri"/>
          <w:b/>
          <w:color w:val="17251C"/>
          <w:sz w:val="22"/>
        </w:rPr>
        <w:t xml:space="preserve">CRM et ventes : </w:t>
      </w:r>
      <w:r>
        <w:rPr>
          <w:rFonts w:ascii="Calibri" w:hAnsi="Calibri" w:eastAsia="Calibri"/>
          <w:color w:val="17251C"/>
          <w:sz w:val="22"/>
        </w:rPr>
        <w:t>prospects, opportunités, devis, commandes, contrats, factures, règlements et relances.</w:t>
      </w:r>
    </w:p>
    <w:p>
      <w:pPr>
        <w:spacing w:before="0" w:after="80" w:line="290" w:lineRule="auto"/>
        <w:jc w:val="left"/>
        <w:numPr>
          <w:ilvl w:val="0"/>
          <w:numId w:val="10"/>
        </w:numPr>
      </w:pPr>
      <w:r>
        <w:rPr>
          <w:rFonts w:ascii="Calibri" w:hAnsi="Calibri" w:eastAsia="Calibri"/>
          <w:b/>
          <w:color w:val="17251C"/>
          <w:sz w:val="22"/>
        </w:rPr>
        <w:t xml:space="preserve">Achats : </w:t>
      </w:r>
      <w:r>
        <w:rPr>
          <w:rFonts w:ascii="Calibri" w:hAnsi="Calibri" w:eastAsia="Calibri"/>
          <w:color w:val="17251C"/>
          <w:sz w:val="22"/>
        </w:rPr>
        <w:t>demandes d’achat, validations, commandes fournisseurs, réceptions et contrôle des factures.</w:t>
      </w:r>
    </w:p>
    <w:p>
      <w:pPr>
        <w:spacing w:before="0" w:after="80" w:line="290" w:lineRule="auto"/>
        <w:jc w:val="left"/>
        <w:numPr>
          <w:ilvl w:val="0"/>
          <w:numId w:val="10"/>
        </w:numPr>
      </w:pPr>
      <w:r>
        <w:rPr>
          <w:rFonts w:ascii="Calibri" w:hAnsi="Calibri" w:eastAsia="Calibri"/>
          <w:b/>
          <w:color w:val="17251C"/>
          <w:sz w:val="22"/>
        </w:rPr>
        <w:t xml:space="preserve">Stocks : </w:t>
      </w:r>
      <w:r>
        <w:rPr>
          <w:rFonts w:ascii="Calibri" w:hAnsi="Calibri" w:eastAsia="Calibri"/>
          <w:color w:val="17251C"/>
          <w:sz w:val="22"/>
        </w:rPr>
        <w:t>multi-dépôts, lots, numéros de série, mouvements, inventaires, seuils et valorisation.</w:t>
      </w:r>
    </w:p>
    <w:p>
      <w:pPr>
        <w:spacing w:before="0" w:after="80" w:line="290" w:lineRule="auto"/>
        <w:jc w:val="left"/>
        <w:numPr>
          <w:ilvl w:val="0"/>
          <w:numId w:val="10"/>
        </w:numPr>
      </w:pPr>
      <w:r>
        <w:rPr>
          <w:rFonts w:ascii="Calibri" w:hAnsi="Calibri" w:eastAsia="Calibri"/>
          <w:b/>
          <w:color w:val="17251C"/>
          <w:sz w:val="22"/>
        </w:rPr>
        <w:t xml:space="preserve">Finance et trésorerie : </w:t>
      </w:r>
      <w:r>
        <w:rPr>
          <w:rFonts w:ascii="Calibri" w:hAnsi="Calibri" w:eastAsia="Calibri"/>
          <w:color w:val="17251C"/>
          <w:sz w:val="22"/>
        </w:rPr>
        <w:t>caisses, banques, créances, dettes, dépenses, centres de coûts et prévisions.</w:t>
      </w:r>
    </w:p>
    <w:p>
      <w:pPr>
        <w:spacing w:before="0" w:after="80" w:line="290" w:lineRule="auto"/>
        <w:jc w:val="left"/>
        <w:numPr>
          <w:ilvl w:val="0"/>
          <w:numId w:val="10"/>
        </w:numPr>
      </w:pPr>
      <w:r>
        <w:rPr>
          <w:rFonts w:ascii="Calibri" w:hAnsi="Calibri" w:eastAsia="Calibri"/>
          <w:b/>
          <w:color w:val="17251C"/>
          <w:sz w:val="22"/>
        </w:rPr>
        <w:t xml:space="preserve">Ressources humaines : </w:t>
      </w:r>
      <w:r>
        <w:rPr>
          <w:rFonts w:ascii="Calibri" w:hAnsi="Calibri" w:eastAsia="Calibri"/>
          <w:color w:val="17251C"/>
          <w:sz w:val="22"/>
        </w:rPr>
        <w:t>personnel, présence, congés, feuilles de temps et préparation des éléments de paie.</w:t>
      </w:r>
    </w:p>
    <w:p>
      <w:pPr>
        <w:spacing w:before="0" w:after="80" w:line="290" w:lineRule="auto"/>
        <w:jc w:val="left"/>
        <w:numPr>
          <w:ilvl w:val="0"/>
          <w:numId w:val="10"/>
        </w:numPr>
      </w:pPr>
      <w:r>
        <w:rPr>
          <w:rFonts w:ascii="Calibri" w:hAnsi="Calibri" w:eastAsia="Calibri"/>
          <w:b/>
          <w:color w:val="17251C"/>
          <w:sz w:val="22"/>
        </w:rPr>
        <w:t xml:space="preserve">Documents et validations : </w:t>
      </w:r>
      <w:r>
        <w:rPr>
          <w:rFonts w:ascii="Calibri" w:hAnsi="Calibri" w:eastAsia="Calibri"/>
          <w:color w:val="17251C"/>
          <w:sz w:val="22"/>
        </w:rPr>
        <w:t>contrats, pièces jointes, numérotation, visas, alertes et journal d’audit.</w:t>
      </w:r>
    </w:p>
    <w:p>
      <w:pPr>
        <w:spacing w:before="0" w:after="80" w:line="290" w:lineRule="auto"/>
        <w:jc w:val="left"/>
        <w:numPr>
          <w:ilvl w:val="0"/>
          <w:numId w:val="10"/>
        </w:numPr>
      </w:pPr>
      <w:r>
        <w:rPr>
          <w:rFonts w:ascii="Calibri" w:hAnsi="Calibri" w:eastAsia="Calibri"/>
          <w:b/>
          <w:color w:val="17251C"/>
          <w:sz w:val="22"/>
        </w:rPr>
        <w:t xml:space="preserve">Portail et mobile : </w:t>
      </w:r>
      <w:r>
        <w:rPr>
          <w:rFonts w:ascii="Calibri" w:hAnsi="Calibri" w:eastAsia="Calibri"/>
          <w:color w:val="17251C"/>
          <w:sz w:val="22"/>
        </w:rPr>
        <w:t>accès web responsive, PWA mobile, notifications et validations à distance.</w:t>
      </w:r>
    </w:p>
    <w:p>
      <w:pPr>
        <w:spacing w:before="0" w:after="80" w:line="290" w:lineRule="auto"/>
        <w:jc w:val="left"/>
        <w:numPr>
          <w:ilvl w:val="0"/>
          <w:numId w:val="10"/>
        </w:numPr>
      </w:pPr>
      <w:r>
        <w:rPr>
          <w:rFonts w:ascii="Calibri" w:hAnsi="Calibri" w:eastAsia="Calibri"/>
          <w:b/>
          <w:color w:val="17251C"/>
          <w:sz w:val="22"/>
        </w:rPr>
        <w:t xml:space="preserve">Pilotage : </w:t>
      </w:r>
      <w:r>
        <w:rPr>
          <w:rFonts w:ascii="Calibri" w:hAnsi="Calibri" w:eastAsia="Calibri"/>
          <w:color w:val="17251C"/>
          <w:sz w:val="22"/>
        </w:rPr>
        <w:t>budgets, marges, objectifs, tableaux de bord et exports Excel/PDF.</w:t>
      </w:r>
    </w:p>
    <w:p>
      <w:pPr>
        <w:pStyle w:val="Heading2"/>
        <w:keepNext/>
      </w:pPr>
      <w:r>
        <w:t>3.2 Module BTP et gestion de chantiers</w:t>
      </w:r>
    </w:p>
    <w:p>
      <w:pPr>
        <w:spacing w:after="160" w:line="320" w:lineRule="auto"/>
        <w:jc w:val="both"/>
        <w:keepLines/>
      </w:pPr>
      <w:r>
        <w:rPr>
          <w:rFonts w:ascii="Calibri" w:hAnsi="Calibri" w:eastAsia="Calibri"/>
          <w:i w:val="0"/>
          <w:color w:val="17251C"/>
          <w:sz w:val="22"/>
        </w:rPr>
        <w:t>Le module BTP suit le cycle complet, de l’appel d’offres à la marge finale : estimation, planification, exécution, situations de travaux, réception et clôture.</w:t>
      </w:r>
    </w:p>
    <w:p>
      <w:pPr>
        <w:spacing w:before="0" w:after="80" w:line="290" w:lineRule="auto"/>
        <w:jc w:val="left"/>
        <w:numPr>
          <w:ilvl w:val="0"/>
          <w:numId w:val="10"/>
        </w:numPr>
      </w:pPr>
      <w:r>
        <w:rPr>
          <w:rFonts w:ascii="Calibri" w:hAnsi="Calibri" w:eastAsia="Calibri"/>
          <w:b/>
          <w:color w:val="17251C"/>
          <w:sz w:val="22"/>
        </w:rPr>
        <w:t xml:space="preserve">Études et devis : </w:t>
      </w:r>
      <w:r>
        <w:rPr>
          <w:rFonts w:ascii="Calibri" w:hAnsi="Calibri" w:eastAsia="Calibri"/>
          <w:color w:val="17251C"/>
          <w:sz w:val="22"/>
        </w:rPr>
        <w:t>estimations, bordereaux, versions, validation et transformation en projet.</w:t>
      </w:r>
    </w:p>
    <w:p>
      <w:pPr>
        <w:spacing w:before="0" w:after="80" w:line="290" w:lineRule="auto"/>
        <w:jc w:val="left"/>
        <w:numPr>
          <w:ilvl w:val="0"/>
          <w:numId w:val="10"/>
        </w:numPr>
      </w:pPr>
      <w:r>
        <w:rPr>
          <w:rFonts w:ascii="Calibri" w:hAnsi="Calibri" w:eastAsia="Calibri"/>
          <w:b/>
          <w:color w:val="17251C"/>
          <w:sz w:val="22"/>
        </w:rPr>
        <w:t xml:space="preserve">Planification : </w:t>
      </w:r>
      <w:r>
        <w:rPr>
          <w:rFonts w:ascii="Calibri" w:hAnsi="Calibri" w:eastAsia="Calibri"/>
          <w:color w:val="17251C"/>
          <w:sz w:val="22"/>
        </w:rPr>
        <w:t>WBS, tâches, jalons, ressources, équipes, engins et matériels.</w:t>
      </w:r>
    </w:p>
    <w:p>
      <w:pPr>
        <w:spacing w:before="0" w:after="80" w:line="290" w:lineRule="auto"/>
        <w:jc w:val="left"/>
        <w:numPr>
          <w:ilvl w:val="0"/>
          <w:numId w:val="10"/>
        </w:numPr>
      </w:pPr>
      <w:r>
        <w:rPr>
          <w:rFonts w:ascii="Calibri" w:hAnsi="Calibri" w:eastAsia="Calibri"/>
          <w:b/>
          <w:color w:val="17251C"/>
          <w:sz w:val="22"/>
        </w:rPr>
        <w:t xml:space="preserve">Contrôle des coûts : </w:t>
      </w:r>
      <w:r>
        <w:rPr>
          <w:rFonts w:ascii="Calibri" w:hAnsi="Calibri" w:eastAsia="Calibri"/>
          <w:color w:val="17251C"/>
          <w:sz w:val="22"/>
        </w:rPr>
        <w:t>budgets par lot, achats, sous-traitance, consommations, temps et écarts.</w:t>
      </w:r>
    </w:p>
    <w:p>
      <w:pPr>
        <w:spacing w:before="0" w:after="80" w:line="290" w:lineRule="auto"/>
        <w:jc w:val="left"/>
        <w:numPr>
          <w:ilvl w:val="0"/>
          <w:numId w:val="10"/>
        </w:numPr>
      </w:pPr>
      <w:r>
        <w:rPr>
          <w:rFonts w:ascii="Calibri" w:hAnsi="Calibri" w:eastAsia="Calibri"/>
          <w:b/>
          <w:color w:val="17251C"/>
          <w:sz w:val="22"/>
        </w:rPr>
        <w:t xml:space="preserve">Suivi terrain : </w:t>
      </w:r>
      <w:r>
        <w:rPr>
          <w:rFonts w:ascii="Calibri" w:hAnsi="Calibri" w:eastAsia="Calibri"/>
          <w:color w:val="17251C"/>
          <w:sz w:val="22"/>
        </w:rPr>
        <w:t>avancement, photos, incidents, qualité, sécurité, réserves et rapports.</w:t>
      </w:r>
    </w:p>
    <w:p>
      <w:pPr>
        <w:spacing w:before="0" w:after="80" w:line="290" w:lineRule="auto"/>
        <w:jc w:val="left"/>
        <w:numPr>
          <w:ilvl w:val="0"/>
          <w:numId w:val="10"/>
        </w:numPr>
      </w:pPr>
      <w:r>
        <w:rPr>
          <w:rFonts w:ascii="Calibri" w:hAnsi="Calibri" w:eastAsia="Calibri"/>
          <w:b/>
          <w:color w:val="17251C"/>
          <w:sz w:val="22"/>
        </w:rPr>
        <w:t xml:space="preserve">Facturation : </w:t>
      </w:r>
      <w:r>
        <w:rPr>
          <w:rFonts w:ascii="Calibri" w:hAnsi="Calibri" w:eastAsia="Calibri"/>
          <w:color w:val="17251C"/>
          <w:sz w:val="22"/>
        </w:rPr>
        <w:t>attachements, situations, acomptes, retenues, règlements et recouvrement.</w:t>
      </w:r>
    </w:p>
    <w:p>
      <w:pPr>
        <w:spacing w:before="0" w:after="80" w:line="290" w:lineRule="auto"/>
        <w:jc w:val="left"/>
        <w:numPr>
          <w:ilvl w:val="0"/>
          <w:numId w:val="10"/>
        </w:numPr>
      </w:pPr>
      <w:r>
        <w:rPr>
          <w:rFonts w:ascii="Calibri" w:hAnsi="Calibri" w:eastAsia="Calibri"/>
          <w:b/>
          <w:color w:val="17251C"/>
          <w:sz w:val="22"/>
        </w:rPr>
        <w:t xml:space="preserve">Rentabilité : </w:t>
      </w:r>
      <w:r>
        <w:rPr>
          <w:rFonts w:ascii="Calibri" w:hAnsi="Calibri" w:eastAsia="Calibri"/>
          <w:color w:val="17251C"/>
          <w:sz w:val="22"/>
        </w:rPr>
        <w:t>prévu, engagé, réalisé, reste à faire et marge à terminaison.</w:t>
      </w:r>
    </w:p>
    <w:p>
      <w:pPr>
        <w:pStyle w:val="Heading2"/>
        <w:keepNext/>
      </w:pPr>
      <w:r>
        <w:t>3.3 Commerce, informatique, communication et bureautique</w:t>
      </w:r>
    </w:p>
    <w:p>
      <w:pPr>
        <w:spacing w:after="160" w:line="320" w:lineRule="auto"/>
        <w:jc w:val="both"/>
        <w:keepLines/>
      </w:pPr>
      <w:r>
        <w:rPr>
          <w:rFonts w:ascii="Calibri" w:hAnsi="Calibri" w:eastAsia="Calibri"/>
          <w:i w:val="0"/>
          <w:color w:val="17251C"/>
          <w:sz w:val="22"/>
        </w:rPr>
        <w:t>Ces activités utilisent un cycle commun devis–commande–approvisionnement–livraison–facturation–encaissement, enrichi par des fonctions spécifiques aux équipements et prestations.</w:t>
      </w:r>
    </w:p>
    <w:p>
      <w:pPr>
        <w:spacing w:before="0" w:after="80" w:line="290" w:lineRule="auto"/>
        <w:jc w:val="left"/>
        <w:numPr>
          <w:ilvl w:val="0"/>
          <w:numId w:val="10"/>
        </w:numPr>
      </w:pPr>
      <w:r>
        <w:rPr>
          <w:rFonts w:ascii="Calibri" w:hAnsi="Calibri" w:eastAsia="Calibri"/>
          <w:color w:val="17251C"/>
          <w:sz w:val="22"/>
        </w:rPr>
        <w:t>Catalogues, tarifs, remises, kits, numéros de série, garanties et livraisons partielles.</w:t>
      </w:r>
    </w:p>
    <w:p>
      <w:pPr>
        <w:spacing w:before="0" w:after="80" w:line="290" w:lineRule="auto"/>
        <w:jc w:val="left"/>
        <w:numPr>
          <w:ilvl w:val="0"/>
          <w:numId w:val="10"/>
        </w:numPr>
      </w:pPr>
      <w:r>
        <w:rPr>
          <w:rFonts w:ascii="Calibri" w:hAnsi="Calibri" w:eastAsia="Calibri"/>
          <w:color w:val="17251C"/>
          <w:sz w:val="22"/>
        </w:rPr>
        <w:t>Contrats de maintenance, abonnements, tickets d’assistance, temps passé, SLA et renouvellements.</w:t>
      </w:r>
    </w:p>
    <w:p>
      <w:pPr>
        <w:spacing w:before="0" w:after="80" w:line="290" w:lineRule="auto"/>
        <w:jc w:val="left"/>
        <w:numPr>
          <w:ilvl w:val="0"/>
          <w:numId w:val="10"/>
        </w:numPr>
      </w:pPr>
      <w:r>
        <w:rPr>
          <w:rFonts w:ascii="Calibri" w:hAnsi="Calibri" w:eastAsia="Calibri"/>
          <w:color w:val="17251C"/>
          <w:sz w:val="22"/>
        </w:rPr>
        <w:t>Briefs, bons à tirer, plan de charge créatif, impression, sous-traitance et marge par campagne.</w:t>
      </w:r>
    </w:p>
    <w:p>
      <w:pPr>
        <w:spacing w:before="0" w:after="80" w:line="290" w:lineRule="auto"/>
        <w:jc w:val="left"/>
        <w:numPr>
          <w:ilvl w:val="0"/>
          <w:numId w:val="10"/>
        </w:numPr>
      </w:pPr>
      <w:r>
        <w:rPr>
          <w:rFonts w:ascii="Calibri" w:hAnsi="Calibri" w:eastAsia="Calibri"/>
          <w:color w:val="17251C"/>
          <w:sz w:val="22"/>
        </w:rPr>
        <w:t>Stock de matériels, mobilier et consommables avec inventaires et seuils d’alerte.</w:t>
      </w:r>
    </w:p>
    <w:p>
      <w:pPr>
        <w:pStyle w:val="Heading2"/>
        <w:keepNext/>
      </w:pPr>
      <w:r>
        <w:t>3.4 Transport, logistique, résidences et traiteur</w:t>
      </w:r>
    </w:p>
    <w:p>
      <w:pPr>
        <w:spacing w:after="160" w:line="320" w:lineRule="auto"/>
        <w:jc w:val="both"/>
        <w:keepLines/>
      </w:pPr>
      <w:r>
        <w:rPr>
          <w:rFonts w:ascii="Calibri" w:hAnsi="Calibri" w:eastAsia="Calibri"/>
          <w:i w:val="0"/>
          <w:color w:val="17251C"/>
          <w:sz w:val="22"/>
        </w:rPr>
        <w:t>Le transport et les services associés sont planifiés et facturés depuis la même base clients, fournisseurs et trésorerie.</w:t>
      </w:r>
    </w:p>
    <w:p>
      <w:pPr>
        <w:spacing w:before="0" w:after="80" w:line="290" w:lineRule="auto"/>
        <w:jc w:val="left"/>
        <w:numPr>
          <w:ilvl w:val="0"/>
          <w:numId w:val="10"/>
        </w:numPr>
      </w:pPr>
      <w:r>
        <w:rPr>
          <w:rFonts w:ascii="Calibri" w:hAnsi="Calibri" w:eastAsia="Calibri"/>
          <w:b/>
          <w:color w:val="17251C"/>
          <w:sz w:val="22"/>
        </w:rPr>
        <w:t xml:space="preserve">Transport et flotte : </w:t>
      </w:r>
      <w:r>
        <w:rPr>
          <w:rFonts w:ascii="Calibri" w:hAnsi="Calibri" w:eastAsia="Calibri"/>
          <w:color w:val="17251C"/>
          <w:sz w:val="22"/>
        </w:rPr>
        <w:t>ordres de mission, véhicules, chauffeurs, documents, carburant, péages, avances, entretien, preuve de livraison et coût par kilomètre.</w:t>
      </w:r>
    </w:p>
    <w:p>
      <w:pPr>
        <w:spacing w:before="0" w:after="80" w:line="290" w:lineRule="auto"/>
        <w:jc w:val="left"/>
        <w:numPr>
          <w:ilvl w:val="0"/>
          <w:numId w:val="10"/>
        </w:numPr>
      </w:pPr>
      <w:r>
        <w:rPr>
          <w:rFonts w:ascii="Calibri" w:hAnsi="Calibri" w:eastAsia="Calibri"/>
          <w:b/>
          <w:color w:val="17251C"/>
          <w:sz w:val="22"/>
        </w:rPr>
        <w:t xml:space="preserve">Résidences : </w:t>
      </w:r>
      <w:r>
        <w:rPr>
          <w:rFonts w:ascii="Calibri" w:hAnsi="Calibri" w:eastAsia="Calibri"/>
          <w:color w:val="17251C"/>
          <w:sz w:val="22"/>
        </w:rPr>
        <w:t>disponibilités, réservation, check-in/check-out, dépôt de garantie, services annexes, état des chambres et facturation.</w:t>
      </w:r>
    </w:p>
    <w:p>
      <w:pPr>
        <w:spacing w:before="0" w:after="80" w:line="290" w:lineRule="auto"/>
        <w:jc w:val="left"/>
        <w:numPr>
          <w:ilvl w:val="0"/>
          <w:numId w:val="10"/>
        </w:numPr>
      </w:pPr>
      <w:r>
        <w:rPr>
          <w:rFonts w:ascii="Calibri" w:hAnsi="Calibri" w:eastAsia="Calibri"/>
          <w:b/>
          <w:color w:val="17251C"/>
          <w:sz w:val="22"/>
        </w:rPr>
        <w:t xml:space="preserve">Traiteur : </w:t>
      </w:r>
      <w:r>
        <w:rPr>
          <w:rFonts w:ascii="Calibri" w:hAnsi="Calibri" w:eastAsia="Calibri"/>
          <w:color w:val="17251C"/>
          <w:sz w:val="22"/>
        </w:rPr>
        <w:t>devis par nombre de couverts, menus, fiches techniques, besoins matières, planning de production, équipes, livraison et marge par événement.</w:t>
      </w:r>
    </w:p>
    <w:p>
      <w:pPr>
        <w:pStyle w:val="Heading2"/>
        <w:keepNext/>
      </w:pPr>
      <w:r>
        <w:t>3.5 Module restaurant</w:t>
      </w:r>
    </w:p>
    <w:p>
      <w:pPr>
        <w:spacing w:after="160" w:line="320" w:lineRule="auto"/>
        <w:jc w:val="both"/>
        <w:keepLines/>
      </w:pPr>
      <w:r>
        <w:rPr>
          <w:rFonts w:ascii="Calibri" w:hAnsi="Calibri" w:eastAsia="Calibri"/>
          <w:i w:val="0"/>
          <w:color w:val="17251C"/>
          <w:sz w:val="22"/>
        </w:rPr>
        <w:t>Le module restaurant relie le point de vente à la cuisine, aux recettes, au stock et à la comptabilité. Il doit rester rapide en caisse tout en garantissant une traçabilité complète.</w:t>
      </w:r>
    </w:p>
    <w:p>
      <w:pPr>
        <w:spacing w:before="0" w:after="80" w:line="290" w:lineRule="auto"/>
        <w:jc w:val="left"/>
        <w:numPr>
          <w:ilvl w:val="0"/>
          <w:numId w:val="10"/>
        </w:numPr>
      </w:pPr>
      <w:r>
        <w:rPr>
          <w:rFonts w:ascii="Calibri" w:hAnsi="Calibri" w:eastAsia="Calibri"/>
          <w:b/>
          <w:color w:val="17251C"/>
          <w:sz w:val="22"/>
        </w:rPr>
        <w:t xml:space="preserve">Point de vente : </w:t>
      </w:r>
      <w:r>
        <w:rPr>
          <w:rFonts w:ascii="Calibri" w:hAnsi="Calibri" w:eastAsia="Calibri"/>
          <w:color w:val="17251C"/>
          <w:sz w:val="22"/>
        </w:rPr>
        <w:t>tables, comptoir, emporter, livraison, remises, annulations, paiements multiples et clôture de caisse.</w:t>
      </w:r>
    </w:p>
    <w:p>
      <w:pPr>
        <w:spacing w:before="0" w:after="80" w:line="290" w:lineRule="auto"/>
        <w:jc w:val="left"/>
        <w:numPr>
          <w:ilvl w:val="0"/>
          <w:numId w:val="10"/>
        </w:numPr>
      </w:pPr>
      <w:r>
        <w:rPr>
          <w:rFonts w:ascii="Calibri" w:hAnsi="Calibri" w:eastAsia="Calibri"/>
          <w:b/>
          <w:color w:val="17251C"/>
          <w:sz w:val="22"/>
        </w:rPr>
        <w:t xml:space="preserve">Cuisine : </w:t>
      </w:r>
      <w:r>
        <w:rPr>
          <w:rFonts w:ascii="Calibri" w:hAnsi="Calibri" w:eastAsia="Calibri"/>
          <w:color w:val="17251C"/>
          <w:sz w:val="22"/>
        </w:rPr>
        <w:t>tickets, priorités, statuts, temps de préparation, ruptures et contrôle de sortie.</w:t>
      </w:r>
    </w:p>
    <w:p>
      <w:pPr>
        <w:spacing w:before="0" w:after="80" w:line="290" w:lineRule="auto"/>
        <w:jc w:val="left"/>
        <w:numPr>
          <w:ilvl w:val="0"/>
          <w:numId w:val="10"/>
        </w:numPr>
      </w:pPr>
      <w:r>
        <w:rPr>
          <w:rFonts w:ascii="Calibri" w:hAnsi="Calibri" w:eastAsia="Calibri"/>
          <w:b/>
          <w:color w:val="17251C"/>
          <w:sz w:val="22"/>
        </w:rPr>
        <w:t xml:space="preserve">Recettes et stock : </w:t>
      </w:r>
      <w:r>
        <w:rPr>
          <w:rFonts w:ascii="Calibri" w:hAnsi="Calibri" w:eastAsia="Calibri"/>
          <w:color w:val="17251C"/>
          <w:sz w:val="22"/>
        </w:rPr>
        <w:t>fiches techniques, portions, consommations automatiques, pertes, transferts et inventaires.</w:t>
      </w:r>
    </w:p>
    <w:p>
      <w:pPr>
        <w:spacing w:before="0" w:after="80" w:line="290" w:lineRule="auto"/>
        <w:jc w:val="left"/>
        <w:numPr>
          <w:ilvl w:val="0"/>
          <w:numId w:val="10"/>
        </w:numPr>
      </w:pPr>
      <w:r>
        <w:rPr>
          <w:rFonts w:ascii="Calibri" w:hAnsi="Calibri" w:eastAsia="Calibri"/>
          <w:b/>
          <w:color w:val="17251C"/>
          <w:sz w:val="22"/>
        </w:rPr>
        <w:t xml:space="preserve">Clients : </w:t>
      </w:r>
      <w:r>
        <w:rPr>
          <w:rFonts w:ascii="Calibri" w:hAnsi="Calibri" w:eastAsia="Calibri"/>
          <w:color w:val="17251C"/>
          <w:sz w:val="22"/>
        </w:rPr>
        <w:t>réservations, historique, fidélité, comptes entreprises et abonnements.</w:t>
      </w:r>
    </w:p>
    <w:p>
      <w:pPr>
        <w:spacing w:before="0" w:after="80" w:line="290" w:lineRule="auto"/>
        <w:jc w:val="left"/>
        <w:numPr>
          <w:ilvl w:val="0"/>
          <w:numId w:val="10"/>
        </w:numPr>
      </w:pPr>
      <w:r>
        <w:rPr>
          <w:rFonts w:ascii="Calibri" w:hAnsi="Calibri" w:eastAsia="Calibri"/>
          <w:b/>
          <w:color w:val="17251C"/>
          <w:sz w:val="22"/>
        </w:rPr>
        <w:t xml:space="preserve">Indicateurs : </w:t>
      </w:r>
      <w:r>
        <w:rPr>
          <w:rFonts w:ascii="Calibri" w:hAnsi="Calibri" w:eastAsia="Calibri"/>
          <w:color w:val="17251C"/>
          <w:sz w:val="22"/>
        </w:rPr>
        <w:t>chiffre d’affaires journalier, ticket moyen, coût matière, pertes, marge par plat et écart de caisse.</w:t>
      </w:r>
    </w:p>
    <w:p>
      <w:pPr>
        <w:pStyle w:val="Heading2"/>
        <w:keepNext/>
      </w:pPr>
      <w:r>
        <w:t>3.6 Module location de salles événementielles</w:t>
      </w:r>
    </w:p>
    <w:p>
      <w:pPr>
        <w:spacing w:after="160" w:line="320" w:lineRule="auto"/>
        <w:jc w:val="both"/>
        <w:keepLines/>
      </w:pPr>
      <w:r>
        <w:rPr>
          <w:rFonts w:ascii="Calibri" w:hAnsi="Calibri" w:eastAsia="Calibri"/>
          <w:i w:val="0"/>
          <w:color w:val="17251C"/>
          <w:sz w:val="22"/>
        </w:rPr>
        <w:t>Le module sécurise les disponibilités, évite les doubles réservations et rend visible le chiffre d’affaires prévisionnel.</w:t>
      </w:r>
    </w:p>
    <w:p>
      <w:pPr>
        <w:spacing w:before="0" w:after="80" w:line="290" w:lineRule="auto"/>
        <w:jc w:val="left"/>
        <w:numPr>
          <w:ilvl w:val="0"/>
          <w:numId w:val="10"/>
        </w:numPr>
      </w:pPr>
      <w:r>
        <w:rPr>
          <w:rFonts w:ascii="Calibri" w:hAnsi="Calibri" w:eastAsia="Calibri"/>
          <w:b/>
          <w:color w:val="17251C"/>
          <w:sz w:val="22"/>
        </w:rPr>
        <w:t xml:space="preserve">Calendrier : </w:t>
      </w:r>
      <w:r>
        <w:rPr>
          <w:rFonts w:ascii="Calibri" w:hAnsi="Calibri" w:eastAsia="Calibri"/>
          <w:color w:val="17251C"/>
          <w:sz w:val="22"/>
        </w:rPr>
        <w:t>salles, capacités, créneaux, options, confirmations et dates d’expiration.</w:t>
      </w:r>
    </w:p>
    <w:p>
      <w:pPr>
        <w:spacing w:before="0" w:after="80" w:line="290" w:lineRule="auto"/>
        <w:jc w:val="left"/>
        <w:numPr>
          <w:ilvl w:val="0"/>
          <w:numId w:val="10"/>
        </w:numPr>
      </w:pPr>
      <w:r>
        <w:rPr>
          <w:rFonts w:ascii="Calibri" w:hAnsi="Calibri" w:eastAsia="Calibri"/>
          <w:b/>
          <w:color w:val="17251C"/>
          <w:sz w:val="22"/>
        </w:rPr>
        <w:t xml:space="preserve">Devis et contrat : </w:t>
      </w:r>
      <w:r>
        <w:rPr>
          <w:rFonts w:ascii="Calibri" w:hAnsi="Calibri" w:eastAsia="Calibri"/>
          <w:color w:val="17251C"/>
          <w:sz w:val="22"/>
        </w:rPr>
        <w:t>salle, décoration, sonorisation, restauration, personnel, équipements et conditions.</w:t>
      </w:r>
    </w:p>
    <w:p>
      <w:pPr>
        <w:spacing w:before="0" w:after="80" w:line="290" w:lineRule="auto"/>
        <w:jc w:val="left"/>
        <w:numPr>
          <w:ilvl w:val="0"/>
          <w:numId w:val="10"/>
        </w:numPr>
      </w:pPr>
      <w:r>
        <w:rPr>
          <w:rFonts w:ascii="Calibri" w:hAnsi="Calibri" w:eastAsia="Calibri"/>
          <w:b/>
          <w:color w:val="17251C"/>
          <w:sz w:val="22"/>
        </w:rPr>
        <w:t xml:space="preserve">Acomptes et solde : </w:t>
      </w:r>
      <w:r>
        <w:rPr>
          <w:rFonts w:ascii="Calibri" w:hAnsi="Calibri" w:eastAsia="Calibri"/>
          <w:color w:val="17251C"/>
          <w:sz w:val="22"/>
        </w:rPr>
        <w:t>échéanciers, reçus, relances, dépôt de garantie et remboursement.</w:t>
      </w:r>
    </w:p>
    <w:p>
      <w:pPr>
        <w:spacing w:before="0" w:after="80" w:line="290" w:lineRule="auto"/>
        <w:jc w:val="left"/>
        <w:numPr>
          <w:ilvl w:val="0"/>
          <w:numId w:val="10"/>
        </w:numPr>
      </w:pPr>
      <w:r>
        <w:rPr>
          <w:rFonts w:ascii="Calibri" w:hAnsi="Calibri" w:eastAsia="Calibri"/>
          <w:b/>
          <w:color w:val="17251C"/>
          <w:sz w:val="22"/>
        </w:rPr>
        <w:t xml:space="preserve">Exécution : </w:t>
      </w:r>
      <w:r>
        <w:rPr>
          <w:rFonts w:ascii="Calibri" w:hAnsi="Calibri" w:eastAsia="Calibri"/>
          <w:color w:val="17251C"/>
          <w:sz w:val="22"/>
        </w:rPr>
        <w:t>checklists, plan de salle, affectations, incidents et état des lieux.</w:t>
      </w:r>
    </w:p>
    <w:p>
      <w:pPr>
        <w:spacing w:before="0" w:after="80" w:line="290" w:lineRule="auto"/>
        <w:jc w:val="left"/>
        <w:numPr>
          <w:ilvl w:val="0"/>
          <w:numId w:val="10"/>
        </w:numPr>
      </w:pPr>
      <w:r>
        <w:rPr>
          <w:rFonts w:ascii="Calibri" w:hAnsi="Calibri" w:eastAsia="Calibri"/>
          <w:b/>
          <w:color w:val="17251C"/>
          <w:sz w:val="22"/>
        </w:rPr>
        <w:t xml:space="preserve">Pilotage : </w:t>
      </w:r>
      <w:r>
        <w:rPr>
          <w:rFonts w:ascii="Calibri" w:hAnsi="Calibri" w:eastAsia="Calibri"/>
          <w:color w:val="17251C"/>
          <w:sz w:val="22"/>
        </w:rPr>
        <w:t>taux d’occupation, recettes futures, acomptes, impayés et marge par événement.</w:t>
      </w:r>
    </w:p>
    <w:p>
      <w:pPr>
        <w:pStyle w:val="Heading2"/>
        <w:keepNext/>
      </w:pPr>
      <w:r>
        <w:t>3.7 Module lavage automobile</w:t>
      </w:r>
    </w:p>
    <w:p>
      <w:pPr>
        <w:spacing w:after="160" w:line="320" w:lineRule="auto"/>
        <w:jc w:val="both"/>
        <w:keepLines/>
      </w:pPr>
      <w:r>
        <w:rPr>
          <w:rFonts w:ascii="Calibri" w:hAnsi="Calibri" w:eastAsia="Calibri"/>
          <w:i w:val="0"/>
          <w:color w:val="17251C"/>
          <w:sz w:val="22"/>
        </w:rPr>
        <w:t>Chaque véhicule reçoit un ticket qui suit les étapes arrivée, diagnostic, choix du forfait, traitement, contrôle qualité et paiement.</w:t>
      </w:r>
    </w:p>
    <w:p>
      <w:pPr>
        <w:spacing w:before="0" w:after="80" w:line="290" w:lineRule="auto"/>
        <w:jc w:val="left"/>
        <w:numPr>
          <w:ilvl w:val="0"/>
          <w:numId w:val="10"/>
        </w:numPr>
      </w:pPr>
      <w:r>
        <w:rPr>
          <w:rFonts w:ascii="Calibri" w:hAnsi="Calibri" w:eastAsia="Calibri"/>
          <w:b/>
          <w:color w:val="17251C"/>
          <w:sz w:val="22"/>
        </w:rPr>
        <w:t xml:space="preserve">Offres : </w:t>
      </w:r>
      <w:r>
        <w:rPr>
          <w:rFonts w:ascii="Calibri" w:hAnsi="Calibri" w:eastAsia="Calibri"/>
          <w:color w:val="17251C"/>
          <w:sz w:val="22"/>
        </w:rPr>
        <w:t>lavage simple, complet, VIP, options et tarifs selon la catégorie du véhicule.</w:t>
      </w:r>
    </w:p>
    <w:p>
      <w:pPr>
        <w:spacing w:before="0" w:after="80" w:line="290" w:lineRule="auto"/>
        <w:jc w:val="left"/>
        <w:numPr>
          <w:ilvl w:val="0"/>
          <w:numId w:val="10"/>
        </w:numPr>
      </w:pPr>
      <w:r>
        <w:rPr>
          <w:rFonts w:ascii="Calibri" w:hAnsi="Calibri" w:eastAsia="Calibri"/>
          <w:b/>
          <w:color w:val="17251C"/>
          <w:sz w:val="22"/>
        </w:rPr>
        <w:t xml:space="preserve">Abonnements : </w:t>
      </w:r>
      <w:r>
        <w:rPr>
          <w:rFonts w:ascii="Calibri" w:hAnsi="Calibri" w:eastAsia="Calibri"/>
          <w:color w:val="17251C"/>
          <w:sz w:val="22"/>
        </w:rPr>
        <w:t>cartes prépayées, comptes entreprises, flottes et consommation par véhicule.</w:t>
      </w:r>
    </w:p>
    <w:p>
      <w:pPr>
        <w:spacing w:before="0" w:after="80" w:line="290" w:lineRule="auto"/>
        <w:jc w:val="left"/>
        <w:numPr>
          <w:ilvl w:val="0"/>
          <w:numId w:val="10"/>
        </w:numPr>
      </w:pPr>
      <w:r>
        <w:rPr>
          <w:rFonts w:ascii="Calibri" w:hAnsi="Calibri" w:eastAsia="Calibri"/>
          <w:b/>
          <w:color w:val="17251C"/>
          <w:sz w:val="22"/>
        </w:rPr>
        <w:t xml:space="preserve">Opérations : </w:t>
      </w:r>
      <w:r>
        <w:rPr>
          <w:rFonts w:ascii="Calibri" w:hAnsi="Calibri" w:eastAsia="Calibri"/>
          <w:color w:val="17251C"/>
          <w:sz w:val="22"/>
        </w:rPr>
        <w:t>file d’attente, affectation des postes, agents, temps de cycle et reprises.</w:t>
      </w:r>
    </w:p>
    <w:p>
      <w:pPr>
        <w:spacing w:before="0" w:after="80" w:line="290" w:lineRule="auto"/>
        <w:jc w:val="left"/>
        <w:numPr>
          <w:ilvl w:val="0"/>
          <w:numId w:val="10"/>
        </w:numPr>
      </w:pPr>
      <w:r>
        <w:rPr>
          <w:rFonts w:ascii="Calibri" w:hAnsi="Calibri" w:eastAsia="Calibri"/>
          <w:b/>
          <w:color w:val="17251C"/>
          <w:sz w:val="22"/>
        </w:rPr>
        <w:t xml:space="preserve">Caisse et contrôle : </w:t>
      </w:r>
      <w:r>
        <w:rPr>
          <w:rFonts w:ascii="Calibri" w:hAnsi="Calibri" w:eastAsia="Calibri"/>
          <w:color w:val="17251C"/>
          <w:sz w:val="22"/>
        </w:rPr>
        <w:t>paiements, remises, annulations, consommables, incidents et clôture.</w:t>
      </w:r>
    </w:p>
    <w:p>
      <w:pPr>
        <w:spacing w:before="0" w:after="80" w:line="290" w:lineRule="auto"/>
        <w:jc w:val="left"/>
        <w:numPr>
          <w:ilvl w:val="0"/>
          <w:numId w:val="10"/>
        </w:numPr>
      </w:pPr>
      <w:r>
        <w:rPr>
          <w:rFonts w:ascii="Calibri" w:hAnsi="Calibri" w:eastAsia="Calibri"/>
          <w:b/>
          <w:color w:val="17251C"/>
          <w:sz w:val="22"/>
        </w:rPr>
        <w:t xml:space="preserve">Indicateurs : </w:t>
      </w:r>
      <w:r>
        <w:rPr>
          <w:rFonts w:ascii="Calibri" w:hAnsi="Calibri" w:eastAsia="Calibri"/>
          <w:color w:val="17251C"/>
          <w:sz w:val="22"/>
        </w:rPr>
        <w:t>véhicules par jour, temps moyen, revenu par poste, consommables par véhicule et écart de caisse.</w:t>
      </w:r>
    </w:p>
    <w:p>
      <w:pPr>
        <w:pStyle w:val="Heading1"/>
        <w:keepNext/>
      </w:pPr>
      <w:r>
        <w:t>4. Architecture technique, sécurité et continuité</w:t>
      </w:r>
    </w:p>
    <w:p>
      <w:pPr>
        <w:spacing w:after="240" w:line="300" w:lineRule="auto"/>
        <w:keepLines/>
      </w:pPr>
      <w:r>
        <w:rPr>
          <w:rFonts w:ascii="Calibri" w:hAnsi="Calibri" w:eastAsia="Calibri"/>
          <w:i/>
          <w:color w:val="526159"/>
          <w:sz w:val="24"/>
        </w:rPr>
        <w:t>La solution cible est une application web responsive, centralisée, sécurisée et conçue pour évoluer par modules.</w:t>
      </w:r>
    </w:p>
    <w:p>
      <w:pPr>
        <w:pStyle w:val="Heading2"/>
        <w:keepNext/>
      </w:pPr>
      <w:r>
        <w:t>4.1 Architecture cible</w:t>
      </w:r>
    </w:p>
    <w:p>
      <w:pPr>
        <w:spacing w:before="0" w:after="80" w:line="290" w:lineRule="auto"/>
        <w:jc w:val="left"/>
        <w:numPr>
          <w:ilvl w:val="0"/>
          <w:numId w:val="10"/>
        </w:numPr>
      </w:pPr>
      <w:r>
        <w:rPr>
          <w:rFonts w:ascii="Calibri" w:hAnsi="Calibri" w:eastAsia="Calibri"/>
          <w:b/>
          <w:color w:val="17251C"/>
          <w:sz w:val="22"/>
        </w:rPr>
        <w:t xml:space="preserve">Couche utilisateurs : </w:t>
      </w:r>
      <w:r>
        <w:rPr>
          <w:rFonts w:ascii="Calibri" w:hAnsi="Calibri" w:eastAsia="Calibri"/>
          <w:color w:val="17251C"/>
          <w:sz w:val="22"/>
        </w:rPr>
        <w:t>direction, finance, ventes, chantiers, transport, restaurant, caisses et accès mobile.</w:t>
      </w:r>
    </w:p>
    <w:p>
      <w:pPr>
        <w:spacing w:before="0" w:after="80" w:line="290" w:lineRule="auto"/>
        <w:jc w:val="left"/>
        <w:numPr>
          <w:ilvl w:val="0"/>
          <w:numId w:val="10"/>
        </w:numPr>
      </w:pPr>
      <w:r>
        <w:rPr>
          <w:rFonts w:ascii="Calibri" w:hAnsi="Calibri" w:eastAsia="Calibri"/>
          <w:b/>
          <w:color w:val="17251C"/>
          <w:sz w:val="22"/>
        </w:rPr>
        <w:t xml:space="preserve">Couche applicative : </w:t>
      </w:r>
      <w:r>
        <w:rPr>
          <w:rFonts w:ascii="Calibri" w:hAnsi="Calibri" w:eastAsia="Calibri"/>
          <w:color w:val="17251C"/>
          <w:sz w:val="22"/>
        </w:rPr>
        <w:t>modules métiers, workflows, notifications, tableaux de bord et portail.</w:t>
      </w:r>
    </w:p>
    <w:p>
      <w:pPr>
        <w:spacing w:before="0" w:after="80" w:line="290" w:lineRule="auto"/>
        <w:jc w:val="left"/>
        <w:numPr>
          <w:ilvl w:val="0"/>
          <w:numId w:val="10"/>
        </w:numPr>
      </w:pPr>
      <w:r>
        <w:rPr>
          <w:rFonts w:ascii="Calibri" w:hAnsi="Calibri" w:eastAsia="Calibri"/>
          <w:b/>
          <w:color w:val="17251C"/>
          <w:sz w:val="22"/>
        </w:rPr>
        <w:t xml:space="preserve">Services : </w:t>
      </w:r>
      <w:r>
        <w:rPr>
          <w:rFonts w:ascii="Calibri" w:hAnsi="Calibri" w:eastAsia="Calibri"/>
          <w:color w:val="17251C"/>
          <w:sz w:val="22"/>
        </w:rPr>
        <w:t>API, génération de documents, e-mail/SMS, paiements, imports/exports et journalisation.</w:t>
      </w:r>
    </w:p>
    <w:p>
      <w:pPr>
        <w:spacing w:before="0" w:after="80" w:line="290" w:lineRule="auto"/>
        <w:jc w:val="left"/>
        <w:numPr>
          <w:ilvl w:val="0"/>
          <w:numId w:val="10"/>
        </w:numPr>
      </w:pPr>
      <w:r>
        <w:rPr>
          <w:rFonts w:ascii="Calibri" w:hAnsi="Calibri" w:eastAsia="Calibri"/>
          <w:b/>
          <w:color w:val="17251C"/>
          <w:sz w:val="22"/>
        </w:rPr>
        <w:t xml:space="preserve">Données et cloud : </w:t>
      </w:r>
      <w:r>
        <w:rPr>
          <w:rFonts w:ascii="Calibri" w:hAnsi="Calibri" w:eastAsia="Calibri"/>
          <w:color w:val="17251C"/>
          <w:sz w:val="22"/>
        </w:rPr>
        <w:t>base centralisée, sauvegardes, supervision, chiffrement et mécanismes de reprise.</w:t>
      </w:r>
    </w:p>
    <w:p>
      <w:pPr>
        <w:pStyle w:val="Heading2"/>
        <w:keepNext/>
      </w:pPr>
      <w:r>
        <w:t>4.2 Sécurité</w:t>
      </w:r>
    </w:p>
    <w:p>
      <w:pPr>
        <w:spacing w:before="0" w:after="80" w:line="290" w:lineRule="auto"/>
        <w:jc w:val="left"/>
        <w:numPr>
          <w:ilvl w:val="0"/>
          <w:numId w:val="10"/>
        </w:numPr>
      </w:pPr>
      <w:r>
        <w:rPr>
          <w:rFonts w:ascii="Calibri" w:hAnsi="Calibri" w:eastAsia="Calibri"/>
          <w:color w:val="17251C"/>
          <w:sz w:val="22"/>
        </w:rPr>
        <w:t>Gestion des profils, rôles, droits par activité et seuils d’autorisation.</w:t>
      </w:r>
    </w:p>
    <w:p>
      <w:pPr>
        <w:spacing w:before="0" w:after="80" w:line="290" w:lineRule="auto"/>
        <w:jc w:val="left"/>
        <w:numPr>
          <w:ilvl w:val="0"/>
          <w:numId w:val="10"/>
        </w:numPr>
      </w:pPr>
      <w:r>
        <w:rPr>
          <w:rFonts w:ascii="Calibri" w:hAnsi="Calibri" w:eastAsia="Calibri"/>
          <w:color w:val="17251C"/>
          <w:sz w:val="22"/>
        </w:rPr>
        <w:t>Chiffrement des échanges HTTPS, protection des secrets et séparation des environnements.</w:t>
      </w:r>
    </w:p>
    <w:p>
      <w:pPr>
        <w:spacing w:before="0" w:after="80" w:line="290" w:lineRule="auto"/>
        <w:jc w:val="left"/>
        <w:numPr>
          <w:ilvl w:val="0"/>
          <w:numId w:val="10"/>
        </w:numPr>
      </w:pPr>
      <w:r>
        <w:rPr>
          <w:rFonts w:ascii="Calibri" w:hAnsi="Calibri" w:eastAsia="Calibri"/>
          <w:color w:val="17251C"/>
          <w:sz w:val="22"/>
        </w:rPr>
        <w:t>Sauvegardes quotidiennes avec rétention, restauration testée et copie externalisée.</w:t>
      </w:r>
    </w:p>
    <w:p>
      <w:pPr>
        <w:spacing w:before="0" w:after="80" w:line="290" w:lineRule="auto"/>
        <w:jc w:val="left"/>
        <w:numPr>
          <w:ilvl w:val="0"/>
          <w:numId w:val="10"/>
        </w:numPr>
      </w:pPr>
      <w:r>
        <w:rPr>
          <w:rFonts w:ascii="Calibri" w:hAnsi="Calibri" w:eastAsia="Calibri"/>
          <w:color w:val="17251C"/>
          <w:sz w:val="22"/>
        </w:rPr>
        <w:t>Journal des connexions, validations, modifications sensibles, annulations et exports.</w:t>
      </w:r>
    </w:p>
    <w:p>
      <w:pPr>
        <w:spacing w:before="0" w:after="80" w:line="290" w:lineRule="auto"/>
        <w:jc w:val="left"/>
        <w:numPr>
          <w:ilvl w:val="0"/>
          <w:numId w:val="10"/>
        </w:numPr>
      </w:pPr>
      <w:r>
        <w:rPr>
          <w:rFonts w:ascii="Calibri" w:hAnsi="Calibri" w:eastAsia="Calibri"/>
          <w:color w:val="17251C"/>
          <w:sz w:val="22"/>
        </w:rPr>
        <w:t>Double authentification disponible en option selon les profils et risques.</w:t>
      </w:r>
    </w:p>
    <w:p>
      <w:pPr>
        <w:spacing w:before="120" w:after="200" w:line="288" w:lineRule="auto"/>
        <w:ind w:left="202" w:right="115"/>
        <w:shd w:fill="E6EFE7"/>
        <w:pBdr>
          <w:left w:val="single" w:sz="18" w:space="10" w:color="9DB43B"/>
        </w:pBdr>
        <w:keepLines/>
      </w:pPr>
      <w:r>
        <w:rPr>
          <w:rFonts w:ascii="Calibri" w:hAnsi="Calibri" w:eastAsia="Calibri"/>
          <w:b/>
          <w:color w:val="234E2B"/>
          <w:sz w:val="20"/>
        </w:rPr>
        <w:t xml:space="preserve">POINT À VALIDER  </w:t>
      </w:r>
      <w:r>
        <w:rPr>
          <w:rFonts w:ascii="Calibri" w:hAnsi="Calibri" w:eastAsia="Calibri"/>
          <w:b w:val="0"/>
          <w:color w:val="17251C"/>
          <w:sz w:val="21"/>
        </w:rPr>
        <w:t>Les objectifs de disponibilité, les durées de conservation, le plan de reprise et les règles de protection des données seront précisés lors du cadrage et repris dans le dossier d’architecture.</w:t>
      </w:r>
    </w:p>
    <w:p>
      <w:pPr>
        <w:pStyle w:val="Heading1"/>
        <w:keepNext/>
      </w:pPr>
      <w:r>
        <w:t>5. Tableaux de bord et indicateurs</w:t>
      </w:r>
    </w:p>
    <w:p>
      <w:pPr>
        <w:spacing w:after="240" w:line="300" w:lineRule="auto"/>
        <w:keepLines/>
      </w:pPr>
      <w:r>
        <w:rPr>
          <w:rFonts w:ascii="Calibri" w:hAnsi="Calibri" w:eastAsia="Calibri"/>
          <w:i/>
          <w:color w:val="526159"/>
          <w:sz w:val="24"/>
        </w:rPr>
        <w:t>La direction dispose d’une vue consolidée et peut descendre jusqu’à la transaction source pour expliquer chaque chiffre.</w:t>
      </w:r>
    </w:p>
    <w:p>
      <w:pPr>
        <w:spacing w:before="0" w:after="80" w:line="290" w:lineRule="auto"/>
        <w:jc w:val="left"/>
        <w:numPr>
          <w:ilvl w:val="0"/>
          <w:numId w:val="10"/>
        </w:numPr>
      </w:pPr>
      <w:r>
        <w:rPr>
          <w:rFonts w:ascii="Calibri" w:hAnsi="Calibri" w:eastAsia="Calibri"/>
          <w:b/>
          <w:color w:val="17251C"/>
          <w:sz w:val="22"/>
        </w:rPr>
        <w:t xml:space="preserve">Direction : </w:t>
      </w:r>
      <w:r>
        <w:rPr>
          <w:rFonts w:ascii="Calibri" w:hAnsi="Calibri" w:eastAsia="Calibri"/>
          <w:color w:val="17251C"/>
          <w:sz w:val="22"/>
        </w:rPr>
        <w:t>chiffre d’affaires, marge, trésorerie, créances, dettes, budgets et tendances par activité.</w:t>
      </w:r>
    </w:p>
    <w:p>
      <w:pPr>
        <w:spacing w:before="0" w:after="80" w:line="290" w:lineRule="auto"/>
        <w:jc w:val="left"/>
        <w:numPr>
          <w:ilvl w:val="0"/>
          <w:numId w:val="10"/>
        </w:numPr>
      </w:pPr>
      <w:r>
        <w:rPr>
          <w:rFonts w:ascii="Calibri" w:hAnsi="Calibri" w:eastAsia="Calibri"/>
          <w:b/>
          <w:color w:val="17251C"/>
          <w:sz w:val="22"/>
        </w:rPr>
        <w:t xml:space="preserve">BTP : </w:t>
      </w:r>
      <w:r>
        <w:rPr>
          <w:rFonts w:ascii="Calibri" w:hAnsi="Calibri" w:eastAsia="Calibri"/>
          <w:color w:val="17251C"/>
          <w:sz w:val="22"/>
        </w:rPr>
        <w:t>avancement, engagé, réalisé, écarts, retards, facturation et marge à terminaison.</w:t>
      </w:r>
    </w:p>
    <w:p>
      <w:pPr>
        <w:spacing w:before="0" w:after="80" w:line="290" w:lineRule="auto"/>
        <w:jc w:val="left"/>
        <w:numPr>
          <w:ilvl w:val="0"/>
          <w:numId w:val="10"/>
        </w:numPr>
      </w:pPr>
      <w:r>
        <w:rPr>
          <w:rFonts w:ascii="Calibri" w:hAnsi="Calibri" w:eastAsia="Calibri"/>
          <w:b/>
          <w:color w:val="17251C"/>
          <w:sz w:val="22"/>
        </w:rPr>
        <w:t xml:space="preserve">Restaurant : </w:t>
      </w:r>
      <w:r>
        <w:rPr>
          <w:rFonts w:ascii="Calibri" w:hAnsi="Calibri" w:eastAsia="Calibri"/>
          <w:color w:val="17251C"/>
          <w:sz w:val="22"/>
        </w:rPr>
        <w:t>ticket moyen, coût matière, pertes, marge par plat, productivité et écart de caisse.</w:t>
      </w:r>
    </w:p>
    <w:p>
      <w:pPr>
        <w:spacing w:before="0" w:after="80" w:line="290" w:lineRule="auto"/>
        <w:jc w:val="left"/>
        <w:numPr>
          <w:ilvl w:val="0"/>
          <w:numId w:val="10"/>
        </w:numPr>
      </w:pPr>
      <w:r>
        <w:rPr>
          <w:rFonts w:ascii="Calibri" w:hAnsi="Calibri" w:eastAsia="Calibri"/>
          <w:b/>
          <w:color w:val="17251C"/>
          <w:sz w:val="22"/>
        </w:rPr>
        <w:t xml:space="preserve">Salles : </w:t>
      </w:r>
      <w:r>
        <w:rPr>
          <w:rFonts w:ascii="Calibri" w:hAnsi="Calibri" w:eastAsia="Calibri"/>
          <w:color w:val="17251C"/>
          <w:sz w:val="22"/>
        </w:rPr>
        <w:t>taux d’occupation, chiffre d’affaires futur, acomptes, soldes et marge par événement.</w:t>
      </w:r>
    </w:p>
    <w:p>
      <w:pPr>
        <w:spacing w:before="0" w:after="80" w:line="290" w:lineRule="auto"/>
        <w:jc w:val="left"/>
        <w:numPr>
          <w:ilvl w:val="0"/>
          <w:numId w:val="10"/>
        </w:numPr>
      </w:pPr>
      <w:r>
        <w:rPr>
          <w:rFonts w:ascii="Calibri" w:hAnsi="Calibri" w:eastAsia="Calibri"/>
          <w:b/>
          <w:color w:val="17251C"/>
          <w:sz w:val="22"/>
        </w:rPr>
        <w:t xml:space="preserve">Lavage : </w:t>
      </w:r>
      <w:r>
        <w:rPr>
          <w:rFonts w:ascii="Calibri" w:hAnsi="Calibri" w:eastAsia="Calibri"/>
          <w:color w:val="17251C"/>
          <w:sz w:val="22"/>
        </w:rPr>
        <w:t>véhicules par jour, temps de cycle, revenu par poste, reprises et consommables.</w:t>
      </w:r>
    </w:p>
    <w:p>
      <w:pPr>
        <w:spacing w:before="0" w:after="80" w:line="290" w:lineRule="auto"/>
        <w:jc w:val="left"/>
        <w:numPr>
          <w:ilvl w:val="0"/>
          <w:numId w:val="10"/>
        </w:numPr>
      </w:pPr>
      <w:r>
        <w:rPr>
          <w:rFonts w:ascii="Calibri" w:hAnsi="Calibri" w:eastAsia="Calibri"/>
          <w:b/>
          <w:color w:val="17251C"/>
          <w:sz w:val="22"/>
        </w:rPr>
        <w:t xml:space="preserve">Transport : </w:t>
      </w:r>
      <w:r>
        <w:rPr>
          <w:rFonts w:ascii="Calibri" w:hAnsi="Calibri" w:eastAsia="Calibri"/>
          <w:color w:val="17251C"/>
          <w:sz w:val="22"/>
        </w:rPr>
        <w:t>coût au kilomètre, carburant, disponibilité, immobilisation et marge par trajet.</w:t>
      </w:r>
    </w:p>
    <w:p>
      <w:pPr>
        <w:spacing w:before="0" w:after="80" w:line="290" w:lineRule="auto"/>
        <w:jc w:val="left"/>
        <w:numPr>
          <w:ilvl w:val="0"/>
          <w:numId w:val="10"/>
        </w:numPr>
      </w:pPr>
      <w:r>
        <w:rPr>
          <w:rFonts w:ascii="Calibri" w:hAnsi="Calibri" w:eastAsia="Calibri"/>
          <w:b/>
          <w:color w:val="17251C"/>
          <w:sz w:val="22"/>
        </w:rPr>
        <w:t xml:space="preserve">Commerce : </w:t>
      </w:r>
      <w:r>
        <w:rPr>
          <w:rFonts w:ascii="Calibri" w:hAnsi="Calibri" w:eastAsia="Calibri"/>
          <w:color w:val="17251C"/>
          <w:sz w:val="22"/>
        </w:rPr>
        <w:t>pipeline, conversion, marge par article, rotation des stocks et renouvellements.</w:t>
      </w:r>
    </w:p>
    <w:p>
      <w:pPr>
        <w:pStyle w:val="Heading1"/>
        <w:keepNext/>
      </w:pPr>
      <w:r>
        <w:t>6. Méthodologie et planning de réalisation</w:t>
      </w:r>
    </w:p>
    <w:p>
      <w:pPr>
        <w:spacing w:after="240" w:line="300" w:lineRule="auto"/>
        <w:keepLines/>
      </w:pPr>
      <w:r>
        <w:rPr>
          <w:rFonts w:ascii="Calibri" w:hAnsi="Calibri" w:eastAsia="Calibri"/>
          <w:i/>
          <w:color w:val="526159"/>
          <w:sz w:val="24"/>
        </w:rPr>
        <w:t>Le projet est réalisé de manière incrémentale, avec une démonstration toutes les deux semaines et une validation formelle à chaque jalon.</w:t>
      </w:r>
    </w:p>
    <w:tbl>
      <w:tblPr>
        <w:tblW w:type="dxa" w:w="9360"/>
        <w:jc w:val="left"/>
        <w:tblLayout w:type="fixed"/>
        <w:tblLook w:firstColumn="1" w:firstRow="1" w:lastColumn="0" w:lastRow="0" w:noHBand="0" w:noVBand="1" w:val="04A0"/>
        <w:tblInd w:type="dxa" w:w="120"/>
      </w:tblPr>
      <w:tblGrid>
        <w:gridCol w:w="900"/>
        <w:gridCol w:w="1900"/>
        <w:gridCol w:w="2600"/>
        <w:gridCol w:w="3960"/>
      </w:tblGrid>
      <w:tr>
        <w:trPr>
          <w:tblHeader w:val="true"/>
        </w:trPr>
        <w:tc>
          <w:tcPr>
            <w:tcW w:type="dxa" w:w="900"/>
            <w:vAlign w:val="center"/>
            <w:tcBorders>
              <w:top w:val="single" w:sz="4" w:color="D8E3D9"/>
              <w:left w:val="single" w:sz="4" w:color="D8E3D9"/>
              <w:bottom w:val="single" w:sz="4" w:color="D8E3D9"/>
              <w:right w:val="single" w:sz="4" w:color="D8E3D9"/>
              <w:insideH w:val="single" w:sz="4" w:color="D8E3D9"/>
              <w:insideV w:val="single" w:sz="4" w:color="D8E3D9"/>
            </w:tcBorders>
            <w:shd w:fill="234E2B"/>
            <w:tcMar>
              <w:top w:w="80" w:type="dxa"/>
              <w:bottom w:w="80" w:type="dxa"/>
              <w:start w:w="120" w:type="dxa"/>
              <w:end w:w="120" w:type="dxa"/>
            </w:tcMar>
          </w:tcPr>
          <w:p>
            <w:pPr>
              <w:spacing w:before="0" w:after="0" w:line="276" w:lineRule="auto"/>
              <w:jc w:val="left"/>
            </w:pPr>
            <w:r>
              <w:rPr>
                <w:rFonts w:ascii="Calibri" w:hAnsi="Calibri" w:eastAsia="Calibri"/>
                <w:b/>
                <w:color w:val="FFFFFF"/>
                <w:sz w:val="17"/>
              </w:rPr>
              <w:t>Phase</w:t>
            </w:r>
          </w:p>
        </w:tc>
        <w:tc>
          <w:tcPr>
            <w:tcW w:type="dxa" w:w="1900"/>
            <w:vAlign w:val="center"/>
            <w:tcBorders>
              <w:top w:val="single" w:sz="4" w:color="D8E3D9"/>
              <w:left w:val="single" w:sz="4" w:color="D8E3D9"/>
              <w:bottom w:val="single" w:sz="4" w:color="D8E3D9"/>
              <w:right w:val="single" w:sz="4" w:color="D8E3D9"/>
              <w:insideH w:val="single" w:sz="4" w:color="D8E3D9"/>
              <w:insideV w:val="single" w:sz="4" w:color="D8E3D9"/>
            </w:tcBorders>
            <w:shd w:fill="234E2B"/>
            <w:tcMar>
              <w:top w:w="80" w:type="dxa"/>
              <w:bottom w:w="80" w:type="dxa"/>
              <w:start w:w="120" w:type="dxa"/>
              <w:end w:w="120" w:type="dxa"/>
            </w:tcMar>
          </w:tcPr>
          <w:p>
            <w:pPr>
              <w:spacing w:before="0" w:after="0" w:line="276" w:lineRule="auto"/>
              <w:jc w:val="left"/>
            </w:pPr>
            <w:r>
              <w:rPr>
                <w:rFonts w:ascii="Calibri" w:hAnsi="Calibri" w:eastAsia="Calibri"/>
                <w:b/>
                <w:color w:val="FFFFFF"/>
                <w:sz w:val="17"/>
              </w:rPr>
              <w:t>Période</w:t>
            </w:r>
          </w:p>
        </w:tc>
        <w:tc>
          <w:tcPr>
            <w:tcW w:type="dxa" w:w="2600"/>
            <w:vAlign w:val="center"/>
            <w:tcBorders>
              <w:top w:val="single" w:sz="4" w:color="D8E3D9"/>
              <w:left w:val="single" w:sz="4" w:color="D8E3D9"/>
              <w:bottom w:val="single" w:sz="4" w:color="D8E3D9"/>
              <w:right w:val="single" w:sz="4" w:color="D8E3D9"/>
              <w:insideH w:val="single" w:sz="4" w:color="D8E3D9"/>
              <w:insideV w:val="single" w:sz="4" w:color="D8E3D9"/>
            </w:tcBorders>
            <w:shd w:fill="234E2B"/>
            <w:tcMar>
              <w:top w:w="80" w:type="dxa"/>
              <w:bottom w:w="80" w:type="dxa"/>
              <w:start w:w="120" w:type="dxa"/>
              <w:end w:w="120" w:type="dxa"/>
            </w:tcMar>
          </w:tcPr>
          <w:p>
            <w:pPr>
              <w:spacing w:before="0" w:after="0" w:line="276" w:lineRule="auto"/>
              <w:jc w:val="left"/>
            </w:pPr>
            <w:r>
              <w:rPr>
                <w:rFonts w:ascii="Calibri" w:hAnsi="Calibri" w:eastAsia="Calibri"/>
                <w:b/>
                <w:color w:val="FFFFFF"/>
                <w:sz w:val="17"/>
              </w:rPr>
              <w:t>Objet</w:t>
            </w:r>
          </w:p>
        </w:tc>
        <w:tc>
          <w:tcPr>
            <w:tcW w:type="dxa" w:w="3960"/>
            <w:vAlign w:val="center"/>
            <w:tcBorders>
              <w:top w:val="single" w:sz="4" w:color="D8E3D9"/>
              <w:left w:val="single" w:sz="4" w:color="D8E3D9"/>
              <w:bottom w:val="single" w:sz="4" w:color="D8E3D9"/>
              <w:right w:val="single" w:sz="4" w:color="D8E3D9"/>
              <w:insideH w:val="single" w:sz="4" w:color="D8E3D9"/>
              <w:insideV w:val="single" w:sz="4" w:color="D8E3D9"/>
            </w:tcBorders>
            <w:shd w:fill="234E2B"/>
            <w:tcMar>
              <w:top w:w="80" w:type="dxa"/>
              <w:bottom w:w="80" w:type="dxa"/>
              <w:start w:w="120" w:type="dxa"/>
              <w:end w:w="120" w:type="dxa"/>
            </w:tcMar>
          </w:tcPr>
          <w:p>
            <w:pPr>
              <w:spacing w:before="0" w:after="0" w:line="276" w:lineRule="auto"/>
              <w:jc w:val="left"/>
            </w:pPr>
            <w:r>
              <w:rPr>
                <w:rFonts w:ascii="Calibri" w:hAnsi="Calibri" w:eastAsia="Calibri"/>
                <w:b/>
                <w:color w:val="FFFFFF"/>
                <w:sz w:val="17"/>
              </w:rPr>
              <w:t>Livrable principal</w:t>
            </w:r>
          </w:p>
        </w:tc>
      </w:tr>
      <w:tr>
        <w:trPr/>
        <w:tc>
          <w:tcPr>
            <w:tcW w:type="dxa" w:w="900"/>
            <w:vAlign w:val="center"/>
            <w:tcBorders>
              <w:top w:val="single" w:sz="4" w:color="D8E3D9"/>
              <w:left w:val="single" w:sz="4" w:color="D8E3D9"/>
              <w:bottom w:val="single" w:sz="4" w:color="D8E3D9"/>
              <w:right w:val="single" w:sz="4" w:color="D8E3D9"/>
              <w:insideH w:val="single" w:sz="4" w:color="D8E3D9"/>
              <w:insideV w:val="single" w:sz="4" w:color="D8E3D9"/>
            </w:tcBorders>
            <w:shd w:fill="F3F7F3"/>
            <w:tcMar>
              <w:top w:w="80" w:type="dxa"/>
              <w:bottom w:w="80" w:type="dxa"/>
              <w:start w:w="120" w:type="dxa"/>
              <w:end w:w="120" w:type="dxa"/>
            </w:tcMar>
          </w:tcPr>
          <w:p>
            <w:pPr>
              <w:spacing w:before="0" w:after="0" w:line="276" w:lineRule="auto"/>
              <w:jc w:val="left"/>
            </w:pPr>
            <w:r>
              <w:rPr>
                <w:rFonts w:ascii="Calibri" w:hAnsi="Calibri" w:eastAsia="Calibri"/>
                <w:b w:val="0"/>
                <w:color w:val="17251C"/>
                <w:sz w:val="17"/>
              </w:rPr>
              <w:t>1</w:t>
            </w:r>
          </w:p>
        </w:tc>
        <w:tc>
          <w:tcPr>
            <w:tcW w:type="dxa" w:w="1900"/>
            <w:vAlign w:val="center"/>
            <w:tcBorders>
              <w:top w:val="single" w:sz="4" w:color="D8E3D9"/>
              <w:left w:val="single" w:sz="4" w:color="D8E3D9"/>
              <w:bottom w:val="single" w:sz="4" w:color="D8E3D9"/>
              <w:right w:val="single" w:sz="4" w:color="D8E3D9"/>
              <w:insideH w:val="single" w:sz="4" w:color="D8E3D9"/>
              <w:insideV w:val="single" w:sz="4" w:color="D8E3D9"/>
            </w:tcBorders>
            <w:shd w:fill="F3F7F3"/>
            <w:tcMar>
              <w:top w:w="80" w:type="dxa"/>
              <w:bottom w:w="80" w:type="dxa"/>
              <w:start w:w="120" w:type="dxa"/>
              <w:end w:w="120" w:type="dxa"/>
            </w:tcMar>
          </w:tcPr>
          <w:p>
            <w:pPr>
              <w:spacing w:before="0" w:after="0" w:line="276" w:lineRule="auto"/>
              <w:jc w:val="left"/>
            </w:pPr>
            <w:r>
              <w:rPr>
                <w:rFonts w:ascii="Calibri" w:hAnsi="Calibri" w:eastAsia="Calibri"/>
                <w:b w:val="0"/>
                <w:color w:val="17251C"/>
                <w:sz w:val="17"/>
              </w:rPr>
              <w:t>Semaines 1 à 3</w:t>
            </w:r>
          </w:p>
        </w:tc>
        <w:tc>
          <w:tcPr>
            <w:tcW w:type="dxa" w:w="2600"/>
            <w:vAlign w:val="center"/>
            <w:tcBorders>
              <w:top w:val="single" w:sz="4" w:color="D8E3D9"/>
              <w:left w:val="single" w:sz="4" w:color="D8E3D9"/>
              <w:bottom w:val="single" w:sz="4" w:color="D8E3D9"/>
              <w:right w:val="single" w:sz="4" w:color="D8E3D9"/>
              <w:insideH w:val="single" w:sz="4" w:color="D8E3D9"/>
              <w:insideV w:val="single" w:sz="4" w:color="D8E3D9"/>
            </w:tcBorders>
            <w:shd w:fill="F3F7F3"/>
            <w:tcMar>
              <w:top w:w="80" w:type="dxa"/>
              <w:bottom w:w="80" w:type="dxa"/>
              <w:start w:w="120" w:type="dxa"/>
              <w:end w:w="120" w:type="dxa"/>
            </w:tcMar>
          </w:tcPr>
          <w:p>
            <w:pPr>
              <w:spacing w:before="0" w:after="0" w:line="276" w:lineRule="auto"/>
              <w:jc w:val="left"/>
            </w:pPr>
            <w:r>
              <w:rPr>
                <w:rFonts w:ascii="Calibri" w:hAnsi="Calibri" w:eastAsia="Calibri"/>
                <w:b w:val="0"/>
                <w:color w:val="17251C"/>
                <w:sz w:val="17"/>
              </w:rPr>
              <w:t>Cadrage et blueprint</w:t>
            </w:r>
          </w:p>
        </w:tc>
        <w:tc>
          <w:tcPr>
            <w:tcW w:type="dxa" w:w="3960"/>
            <w:vAlign w:val="center"/>
            <w:tcBorders>
              <w:top w:val="single" w:sz="4" w:color="D8E3D9"/>
              <w:left w:val="single" w:sz="4" w:color="D8E3D9"/>
              <w:bottom w:val="single" w:sz="4" w:color="D8E3D9"/>
              <w:right w:val="single" w:sz="4" w:color="D8E3D9"/>
              <w:insideH w:val="single" w:sz="4" w:color="D8E3D9"/>
              <w:insideV w:val="single" w:sz="4" w:color="D8E3D9"/>
            </w:tcBorders>
            <w:shd w:fill="F3F7F3"/>
            <w:tcMar>
              <w:top w:w="80" w:type="dxa"/>
              <w:bottom w:w="80" w:type="dxa"/>
              <w:start w:w="120" w:type="dxa"/>
              <w:end w:w="120" w:type="dxa"/>
            </w:tcMar>
          </w:tcPr>
          <w:p>
            <w:pPr>
              <w:spacing w:before="0" w:after="0" w:line="276" w:lineRule="auto"/>
              <w:jc w:val="left"/>
            </w:pPr>
            <w:r>
              <w:rPr>
                <w:rFonts w:ascii="Calibri" w:hAnsi="Calibri" w:eastAsia="Calibri"/>
                <w:b w:val="0"/>
                <w:color w:val="17251C"/>
                <w:sz w:val="17"/>
              </w:rPr>
              <w:t>Processus cibles, règles, périmètre et backlog validés</w:t>
            </w:r>
          </w:p>
        </w:tc>
      </w:tr>
      <w:tr>
        <w:trPr/>
        <w:tc>
          <w:tcPr>
            <w:tcW w:type="dxa" w:w="900"/>
            <w:vAlign w:val="center"/>
            <w:tcBorders>
              <w:top w:val="single" w:sz="4" w:color="D8E3D9"/>
              <w:left w:val="single" w:sz="4" w:color="D8E3D9"/>
              <w:bottom w:val="single" w:sz="4" w:color="D8E3D9"/>
              <w:right w:val="single" w:sz="4" w:color="D8E3D9"/>
              <w:insideH w:val="single" w:sz="4" w:color="D8E3D9"/>
              <w:insideV w:val="single" w:sz="4" w:color="D8E3D9"/>
            </w:tcBorders>
            <w:shd w:fill="FFFFFF"/>
            <w:tcMar>
              <w:top w:w="80" w:type="dxa"/>
              <w:bottom w:w="80" w:type="dxa"/>
              <w:start w:w="120" w:type="dxa"/>
              <w:end w:w="120" w:type="dxa"/>
            </w:tcMar>
          </w:tcPr>
          <w:p>
            <w:pPr>
              <w:spacing w:before="0" w:after="0" w:line="276" w:lineRule="auto"/>
              <w:jc w:val="left"/>
            </w:pPr>
            <w:r>
              <w:rPr>
                <w:rFonts w:ascii="Calibri" w:hAnsi="Calibri" w:eastAsia="Calibri"/>
                <w:b w:val="0"/>
                <w:color w:val="17251C"/>
                <w:sz w:val="17"/>
              </w:rPr>
              <w:t>2</w:t>
            </w:r>
          </w:p>
        </w:tc>
        <w:tc>
          <w:tcPr>
            <w:tcW w:type="dxa" w:w="1900"/>
            <w:vAlign w:val="center"/>
            <w:tcBorders>
              <w:top w:val="single" w:sz="4" w:color="D8E3D9"/>
              <w:left w:val="single" w:sz="4" w:color="D8E3D9"/>
              <w:bottom w:val="single" w:sz="4" w:color="D8E3D9"/>
              <w:right w:val="single" w:sz="4" w:color="D8E3D9"/>
              <w:insideH w:val="single" w:sz="4" w:color="D8E3D9"/>
              <w:insideV w:val="single" w:sz="4" w:color="D8E3D9"/>
            </w:tcBorders>
            <w:shd w:fill="FFFFFF"/>
            <w:tcMar>
              <w:top w:w="80" w:type="dxa"/>
              <w:bottom w:w="80" w:type="dxa"/>
              <w:start w:w="120" w:type="dxa"/>
              <w:end w:w="120" w:type="dxa"/>
            </w:tcMar>
          </w:tcPr>
          <w:p>
            <w:pPr>
              <w:spacing w:before="0" w:after="0" w:line="276" w:lineRule="auto"/>
              <w:jc w:val="left"/>
            </w:pPr>
            <w:r>
              <w:rPr>
                <w:rFonts w:ascii="Calibri" w:hAnsi="Calibri" w:eastAsia="Calibri"/>
                <w:b w:val="0"/>
                <w:color w:val="17251C"/>
                <w:sz w:val="17"/>
              </w:rPr>
              <w:t>Semaines 4 à 6</w:t>
            </w:r>
          </w:p>
        </w:tc>
        <w:tc>
          <w:tcPr>
            <w:tcW w:type="dxa" w:w="2600"/>
            <w:vAlign w:val="center"/>
            <w:tcBorders>
              <w:top w:val="single" w:sz="4" w:color="D8E3D9"/>
              <w:left w:val="single" w:sz="4" w:color="D8E3D9"/>
              <w:bottom w:val="single" w:sz="4" w:color="D8E3D9"/>
              <w:right w:val="single" w:sz="4" w:color="D8E3D9"/>
              <w:insideH w:val="single" w:sz="4" w:color="D8E3D9"/>
              <w:insideV w:val="single" w:sz="4" w:color="D8E3D9"/>
            </w:tcBorders>
            <w:shd w:fill="FFFFFF"/>
            <w:tcMar>
              <w:top w:w="80" w:type="dxa"/>
              <w:bottom w:w="80" w:type="dxa"/>
              <w:start w:w="120" w:type="dxa"/>
              <w:end w:w="120" w:type="dxa"/>
            </w:tcMar>
          </w:tcPr>
          <w:p>
            <w:pPr>
              <w:spacing w:before="0" w:after="0" w:line="276" w:lineRule="auto"/>
              <w:jc w:val="left"/>
            </w:pPr>
            <w:r>
              <w:rPr>
                <w:rFonts w:ascii="Calibri" w:hAnsi="Calibri" w:eastAsia="Calibri"/>
                <w:b w:val="0"/>
                <w:color w:val="17251C"/>
                <w:sz w:val="17"/>
              </w:rPr>
              <w:t>UX/UI, prototype et architecture</w:t>
            </w:r>
          </w:p>
        </w:tc>
        <w:tc>
          <w:tcPr>
            <w:tcW w:type="dxa" w:w="3960"/>
            <w:vAlign w:val="center"/>
            <w:tcBorders>
              <w:top w:val="single" w:sz="4" w:color="D8E3D9"/>
              <w:left w:val="single" w:sz="4" w:color="D8E3D9"/>
              <w:bottom w:val="single" w:sz="4" w:color="D8E3D9"/>
              <w:right w:val="single" w:sz="4" w:color="D8E3D9"/>
              <w:insideH w:val="single" w:sz="4" w:color="D8E3D9"/>
              <w:insideV w:val="single" w:sz="4" w:color="D8E3D9"/>
            </w:tcBorders>
            <w:shd w:fill="FFFFFF"/>
            <w:tcMar>
              <w:top w:w="80" w:type="dxa"/>
              <w:bottom w:w="80" w:type="dxa"/>
              <w:start w:w="120" w:type="dxa"/>
              <w:end w:w="120" w:type="dxa"/>
            </w:tcMar>
          </w:tcPr>
          <w:p>
            <w:pPr>
              <w:spacing w:before="0" w:after="0" w:line="276" w:lineRule="auto"/>
              <w:jc w:val="left"/>
            </w:pPr>
            <w:r>
              <w:rPr>
                <w:rFonts w:ascii="Calibri" w:hAnsi="Calibri" w:eastAsia="Calibri"/>
                <w:b w:val="0"/>
                <w:color w:val="17251C"/>
                <w:sz w:val="17"/>
              </w:rPr>
              <w:t>Parcours clés et architecture approuvés</w:t>
            </w:r>
          </w:p>
        </w:tc>
      </w:tr>
      <w:tr>
        <w:trPr/>
        <w:tc>
          <w:tcPr>
            <w:tcW w:type="dxa" w:w="900"/>
            <w:vAlign w:val="center"/>
            <w:tcBorders>
              <w:top w:val="single" w:sz="4" w:color="D8E3D9"/>
              <w:left w:val="single" w:sz="4" w:color="D8E3D9"/>
              <w:bottom w:val="single" w:sz="4" w:color="D8E3D9"/>
              <w:right w:val="single" w:sz="4" w:color="D8E3D9"/>
              <w:insideH w:val="single" w:sz="4" w:color="D8E3D9"/>
              <w:insideV w:val="single" w:sz="4" w:color="D8E3D9"/>
            </w:tcBorders>
            <w:shd w:fill="F3F7F3"/>
            <w:tcMar>
              <w:top w:w="80" w:type="dxa"/>
              <w:bottom w:w="80" w:type="dxa"/>
              <w:start w:w="120" w:type="dxa"/>
              <w:end w:w="120" w:type="dxa"/>
            </w:tcMar>
          </w:tcPr>
          <w:p>
            <w:pPr>
              <w:spacing w:before="0" w:after="0" w:line="276" w:lineRule="auto"/>
              <w:jc w:val="left"/>
            </w:pPr>
            <w:r>
              <w:rPr>
                <w:rFonts w:ascii="Calibri" w:hAnsi="Calibri" w:eastAsia="Calibri"/>
                <w:b w:val="0"/>
                <w:color w:val="17251C"/>
                <w:sz w:val="17"/>
              </w:rPr>
              <w:t>3</w:t>
            </w:r>
          </w:p>
        </w:tc>
        <w:tc>
          <w:tcPr>
            <w:tcW w:type="dxa" w:w="1900"/>
            <w:vAlign w:val="center"/>
            <w:tcBorders>
              <w:top w:val="single" w:sz="4" w:color="D8E3D9"/>
              <w:left w:val="single" w:sz="4" w:color="D8E3D9"/>
              <w:bottom w:val="single" w:sz="4" w:color="D8E3D9"/>
              <w:right w:val="single" w:sz="4" w:color="D8E3D9"/>
              <w:insideH w:val="single" w:sz="4" w:color="D8E3D9"/>
              <w:insideV w:val="single" w:sz="4" w:color="D8E3D9"/>
            </w:tcBorders>
            <w:shd w:fill="F3F7F3"/>
            <w:tcMar>
              <w:top w:w="80" w:type="dxa"/>
              <w:bottom w:w="80" w:type="dxa"/>
              <w:start w:w="120" w:type="dxa"/>
              <w:end w:w="120" w:type="dxa"/>
            </w:tcMar>
          </w:tcPr>
          <w:p>
            <w:pPr>
              <w:spacing w:before="0" w:after="0" w:line="276" w:lineRule="auto"/>
              <w:jc w:val="left"/>
            </w:pPr>
            <w:r>
              <w:rPr>
                <w:rFonts w:ascii="Calibri" w:hAnsi="Calibri" w:eastAsia="Calibri"/>
                <w:b w:val="0"/>
                <w:color w:val="17251C"/>
                <w:sz w:val="17"/>
              </w:rPr>
              <w:t>Semaines 7 à 12</w:t>
            </w:r>
          </w:p>
        </w:tc>
        <w:tc>
          <w:tcPr>
            <w:tcW w:type="dxa" w:w="2600"/>
            <w:vAlign w:val="center"/>
            <w:tcBorders>
              <w:top w:val="single" w:sz="4" w:color="D8E3D9"/>
              <w:left w:val="single" w:sz="4" w:color="D8E3D9"/>
              <w:bottom w:val="single" w:sz="4" w:color="D8E3D9"/>
              <w:right w:val="single" w:sz="4" w:color="D8E3D9"/>
              <w:insideH w:val="single" w:sz="4" w:color="D8E3D9"/>
              <w:insideV w:val="single" w:sz="4" w:color="D8E3D9"/>
            </w:tcBorders>
            <w:shd w:fill="F3F7F3"/>
            <w:tcMar>
              <w:top w:w="80" w:type="dxa"/>
              <w:bottom w:w="80" w:type="dxa"/>
              <w:start w:w="120" w:type="dxa"/>
              <w:end w:w="120" w:type="dxa"/>
            </w:tcMar>
          </w:tcPr>
          <w:p>
            <w:pPr>
              <w:spacing w:before="0" w:after="0" w:line="276" w:lineRule="auto"/>
              <w:jc w:val="left"/>
            </w:pPr>
            <w:r>
              <w:rPr>
                <w:rFonts w:ascii="Calibri" w:hAnsi="Calibri" w:eastAsia="Calibri"/>
                <w:b w:val="0"/>
                <w:color w:val="17251C"/>
                <w:sz w:val="17"/>
              </w:rPr>
              <w:t>Socle ERP et module BTP</w:t>
            </w:r>
          </w:p>
        </w:tc>
        <w:tc>
          <w:tcPr>
            <w:tcW w:type="dxa" w:w="3960"/>
            <w:vAlign w:val="center"/>
            <w:tcBorders>
              <w:top w:val="single" w:sz="4" w:color="D8E3D9"/>
              <w:left w:val="single" w:sz="4" w:color="D8E3D9"/>
              <w:bottom w:val="single" w:sz="4" w:color="D8E3D9"/>
              <w:right w:val="single" w:sz="4" w:color="D8E3D9"/>
              <w:insideH w:val="single" w:sz="4" w:color="D8E3D9"/>
              <w:insideV w:val="single" w:sz="4" w:color="D8E3D9"/>
            </w:tcBorders>
            <w:shd w:fill="F3F7F3"/>
            <w:tcMar>
              <w:top w:w="80" w:type="dxa"/>
              <w:bottom w:w="80" w:type="dxa"/>
              <w:start w:w="120" w:type="dxa"/>
              <w:end w:w="120" w:type="dxa"/>
            </w:tcMar>
          </w:tcPr>
          <w:p>
            <w:pPr>
              <w:spacing w:before="0" w:after="0" w:line="276" w:lineRule="auto"/>
              <w:jc w:val="left"/>
            </w:pPr>
            <w:r>
              <w:rPr>
                <w:rFonts w:ascii="Calibri" w:hAnsi="Calibri" w:eastAsia="Calibri"/>
                <w:b w:val="0"/>
                <w:color w:val="17251C"/>
                <w:sz w:val="17"/>
              </w:rPr>
              <w:t>Version intégrée disponible en recette</w:t>
            </w:r>
          </w:p>
        </w:tc>
      </w:tr>
      <w:tr>
        <w:trPr/>
        <w:tc>
          <w:tcPr>
            <w:tcW w:type="dxa" w:w="900"/>
            <w:vAlign w:val="center"/>
            <w:tcBorders>
              <w:top w:val="single" w:sz="4" w:color="D8E3D9"/>
              <w:left w:val="single" w:sz="4" w:color="D8E3D9"/>
              <w:bottom w:val="single" w:sz="4" w:color="D8E3D9"/>
              <w:right w:val="single" w:sz="4" w:color="D8E3D9"/>
              <w:insideH w:val="single" w:sz="4" w:color="D8E3D9"/>
              <w:insideV w:val="single" w:sz="4" w:color="D8E3D9"/>
            </w:tcBorders>
            <w:shd w:fill="FFFFFF"/>
            <w:tcMar>
              <w:top w:w="80" w:type="dxa"/>
              <w:bottom w:w="80" w:type="dxa"/>
              <w:start w:w="120" w:type="dxa"/>
              <w:end w:w="120" w:type="dxa"/>
            </w:tcMar>
          </w:tcPr>
          <w:p>
            <w:pPr>
              <w:spacing w:before="0" w:after="0" w:line="276" w:lineRule="auto"/>
              <w:jc w:val="left"/>
            </w:pPr>
            <w:r>
              <w:rPr>
                <w:rFonts w:ascii="Calibri" w:hAnsi="Calibri" w:eastAsia="Calibri"/>
                <w:b w:val="0"/>
                <w:color w:val="17251C"/>
                <w:sz w:val="17"/>
              </w:rPr>
              <w:t>4</w:t>
            </w:r>
          </w:p>
        </w:tc>
        <w:tc>
          <w:tcPr>
            <w:tcW w:type="dxa" w:w="1900"/>
            <w:vAlign w:val="center"/>
            <w:tcBorders>
              <w:top w:val="single" w:sz="4" w:color="D8E3D9"/>
              <w:left w:val="single" w:sz="4" w:color="D8E3D9"/>
              <w:bottom w:val="single" w:sz="4" w:color="D8E3D9"/>
              <w:right w:val="single" w:sz="4" w:color="D8E3D9"/>
              <w:insideH w:val="single" w:sz="4" w:color="D8E3D9"/>
              <w:insideV w:val="single" w:sz="4" w:color="D8E3D9"/>
            </w:tcBorders>
            <w:shd w:fill="FFFFFF"/>
            <w:tcMar>
              <w:top w:w="80" w:type="dxa"/>
              <w:bottom w:w="80" w:type="dxa"/>
              <w:start w:w="120" w:type="dxa"/>
              <w:end w:w="120" w:type="dxa"/>
            </w:tcMar>
          </w:tcPr>
          <w:p>
            <w:pPr>
              <w:spacing w:before="0" w:after="0" w:line="276" w:lineRule="auto"/>
              <w:jc w:val="left"/>
            </w:pPr>
            <w:r>
              <w:rPr>
                <w:rFonts w:ascii="Calibri" w:hAnsi="Calibri" w:eastAsia="Calibri"/>
                <w:b w:val="0"/>
                <w:color w:val="17251C"/>
                <w:sz w:val="17"/>
              </w:rPr>
              <w:t>Semaines 13 à 17</w:t>
            </w:r>
          </w:p>
        </w:tc>
        <w:tc>
          <w:tcPr>
            <w:tcW w:type="dxa" w:w="2600"/>
            <w:vAlign w:val="center"/>
            <w:tcBorders>
              <w:top w:val="single" w:sz="4" w:color="D8E3D9"/>
              <w:left w:val="single" w:sz="4" w:color="D8E3D9"/>
              <w:bottom w:val="single" w:sz="4" w:color="D8E3D9"/>
              <w:right w:val="single" w:sz="4" w:color="D8E3D9"/>
              <w:insideH w:val="single" w:sz="4" w:color="D8E3D9"/>
              <w:insideV w:val="single" w:sz="4" w:color="D8E3D9"/>
            </w:tcBorders>
            <w:shd w:fill="FFFFFF"/>
            <w:tcMar>
              <w:top w:w="80" w:type="dxa"/>
              <w:bottom w:w="80" w:type="dxa"/>
              <w:start w:w="120" w:type="dxa"/>
              <w:end w:w="120" w:type="dxa"/>
            </w:tcMar>
          </w:tcPr>
          <w:p>
            <w:pPr>
              <w:spacing w:before="0" w:after="0" w:line="276" w:lineRule="auto"/>
              <w:jc w:val="left"/>
            </w:pPr>
            <w:r>
              <w:rPr>
                <w:rFonts w:ascii="Calibri" w:hAnsi="Calibri" w:eastAsia="Calibri"/>
                <w:b w:val="0"/>
                <w:color w:val="17251C"/>
                <w:sz w:val="17"/>
              </w:rPr>
              <w:t>Modules métiers</w:t>
            </w:r>
          </w:p>
        </w:tc>
        <w:tc>
          <w:tcPr>
            <w:tcW w:type="dxa" w:w="3960"/>
            <w:vAlign w:val="center"/>
            <w:tcBorders>
              <w:top w:val="single" w:sz="4" w:color="D8E3D9"/>
              <w:left w:val="single" w:sz="4" w:color="D8E3D9"/>
              <w:bottom w:val="single" w:sz="4" w:color="D8E3D9"/>
              <w:right w:val="single" w:sz="4" w:color="D8E3D9"/>
              <w:insideH w:val="single" w:sz="4" w:color="D8E3D9"/>
              <w:insideV w:val="single" w:sz="4" w:color="D8E3D9"/>
            </w:tcBorders>
            <w:shd w:fill="FFFFFF"/>
            <w:tcMar>
              <w:top w:w="80" w:type="dxa"/>
              <w:bottom w:w="80" w:type="dxa"/>
              <w:start w:w="120" w:type="dxa"/>
              <w:end w:w="120" w:type="dxa"/>
            </w:tcMar>
          </w:tcPr>
          <w:p>
            <w:pPr>
              <w:spacing w:before="0" w:after="0" w:line="276" w:lineRule="auto"/>
              <w:jc w:val="left"/>
            </w:pPr>
            <w:r>
              <w:rPr>
                <w:rFonts w:ascii="Calibri" w:hAnsi="Calibri" w:eastAsia="Calibri"/>
                <w:b w:val="0"/>
                <w:color w:val="17251C"/>
                <w:sz w:val="17"/>
              </w:rPr>
              <w:t>Restaurant, salles, lavage, transport et services en recette</w:t>
            </w:r>
          </w:p>
        </w:tc>
      </w:tr>
      <w:tr>
        <w:trPr/>
        <w:tc>
          <w:tcPr>
            <w:tcW w:type="dxa" w:w="900"/>
            <w:vAlign w:val="center"/>
            <w:tcBorders>
              <w:top w:val="single" w:sz="4" w:color="D8E3D9"/>
              <w:left w:val="single" w:sz="4" w:color="D8E3D9"/>
              <w:bottom w:val="single" w:sz="4" w:color="D8E3D9"/>
              <w:right w:val="single" w:sz="4" w:color="D8E3D9"/>
              <w:insideH w:val="single" w:sz="4" w:color="D8E3D9"/>
              <w:insideV w:val="single" w:sz="4" w:color="D8E3D9"/>
            </w:tcBorders>
            <w:shd w:fill="F3F7F3"/>
            <w:tcMar>
              <w:top w:w="80" w:type="dxa"/>
              <w:bottom w:w="80" w:type="dxa"/>
              <w:start w:w="120" w:type="dxa"/>
              <w:end w:w="120" w:type="dxa"/>
            </w:tcMar>
          </w:tcPr>
          <w:p>
            <w:pPr>
              <w:spacing w:before="0" w:after="0" w:line="276" w:lineRule="auto"/>
              <w:jc w:val="left"/>
            </w:pPr>
            <w:r>
              <w:rPr>
                <w:rFonts w:ascii="Calibri" w:hAnsi="Calibri" w:eastAsia="Calibri"/>
                <w:b w:val="0"/>
                <w:color w:val="17251C"/>
                <w:sz w:val="17"/>
              </w:rPr>
              <w:t>5</w:t>
            </w:r>
          </w:p>
        </w:tc>
        <w:tc>
          <w:tcPr>
            <w:tcW w:type="dxa" w:w="1900"/>
            <w:vAlign w:val="center"/>
            <w:tcBorders>
              <w:top w:val="single" w:sz="4" w:color="D8E3D9"/>
              <w:left w:val="single" w:sz="4" w:color="D8E3D9"/>
              <w:bottom w:val="single" w:sz="4" w:color="D8E3D9"/>
              <w:right w:val="single" w:sz="4" w:color="D8E3D9"/>
              <w:insideH w:val="single" w:sz="4" w:color="D8E3D9"/>
              <w:insideV w:val="single" w:sz="4" w:color="D8E3D9"/>
            </w:tcBorders>
            <w:shd w:fill="F3F7F3"/>
            <w:tcMar>
              <w:top w:w="80" w:type="dxa"/>
              <w:bottom w:w="80" w:type="dxa"/>
              <w:start w:w="120" w:type="dxa"/>
              <w:end w:w="120" w:type="dxa"/>
            </w:tcMar>
          </w:tcPr>
          <w:p>
            <w:pPr>
              <w:spacing w:before="0" w:after="0" w:line="276" w:lineRule="auto"/>
              <w:jc w:val="left"/>
            </w:pPr>
            <w:r>
              <w:rPr>
                <w:rFonts w:ascii="Calibri" w:hAnsi="Calibri" w:eastAsia="Calibri"/>
                <w:b w:val="0"/>
                <w:color w:val="17251C"/>
                <w:sz w:val="17"/>
              </w:rPr>
              <w:t>Semaines 18 à 20</w:t>
            </w:r>
          </w:p>
        </w:tc>
        <w:tc>
          <w:tcPr>
            <w:tcW w:type="dxa" w:w="2600"/>
            <w:vAlign w:val="center"/>
            <w:tcBorders>
              <w:top w:val="single" w:sz="4" w:color="D8E3D9"/>
              <w:left w:val="single" w:sz="4" w:color="D8E3D9"/>
              <w:bottom w:val="single" w:sz="4" w:color="D8E3D9"/>
              <w:right w:val="single" w:sz="4" w:color="D8E3D9"/>
              <w:insideH w:val="single" w:sz="4" w:color="D8E3D9"/>
              <w:insideV w:val="single" w:sz="4" w:color="D8E3D9"/>
            </w:tcBorders>
            <w:shd w:fill="F3F7F3"/>
            <w:tcMar>
              <w:top w:w="80" w:type="dxa"/>
              <w:bottom w:w="80" w:type="dxa"/>
              <w:start w:w="120" w:type="dxa"/>
              <w:end w:w="120" w:type="dxa"/>
            </w:tcMar>
          </w:tcPr>
          <w:p>
            <w:pPr>
              <w:spacing w:before="0" w:after="0" w:line="276" w:lineRule="auto"/>
              <w:jc w:val="left"/>
            </w:pPr>
            <w:r>
              <w:rPr>
                <w:rFonts w:ascii="Calibri" w:hAnsi="Calibri" w:eastAsia="Calibri"/>
                <w:b w:val="0"/>
                <w:color w:val="17251C"/>
                <w:sz w:val="17"/>
              </w:rPr>
              <w:t>Migration et intégrations</w:t>
            </w:r>
          </w:p>
        </w:tc>
        <w:tc>
          <w:tcPr>
            <w:tcW w:type="dxa" w:w="3960"/>
            <w:vAlign w:val="center"/>
            <w:tcBorders>
              <w:top w:val="single" w:sz="4" w:color="D8E3D9"/>
              <w:left w:val="single" w:sz="4" w:color="D8E3D9"/>
              <w:bottom w:val="single" w:sz="4" w:color="D8E3D9"/>
              <w:right w:val="single" w:sz="4" w:color="D8E3D9"/>
              <w:insideH w:val="single" w:sz="4" w:color="D8E3D9"/>
              <w:insideV w:val="single" w:sz="4" w:color="D8E3D9"/>
            </w:tcBorders>
            <w:shd w:fill="F3F7F3"/>
            <w:tcMar>
              <w:top w:w="80" w:type="dxa"/>
              <w:bottom w:w="80" w:type="dxa"/>
              <w:start w:w="120" w:type="dxa"/>
              <w:end w:w="120" w:type="dxa"/>
            </w:tcMar>
          </w:tcPr>
          <w:p>
            <w:pPr>
              <w:spacing w:before="0" w:after="0" w:line="276" w:lineRule="auto"/>
              <w:jc w:val="left"/>
            </w:pPr>
            <w:r>
              <w:rPr>
                <w:rFonts w:ascii="Calibri" w:hAnsi="Calibri" w:eastAsia="Calibri"/>
                <w:b w:val="0"/>
                <w:color w:val="17251C"/>
                <w:sz w:val="17"/>
              </w:rPr>
              <w:t>Données reprises et interfaces vérifiées</w:t>
            </w:r>
          </w:p>
        </w:tc>
      </w:tr>
      <w:tr>
        <w:trPr/>
        <w:tc>
          <w:tcPr>
            <w:tcW w:type="dxa" w:w="900"/>
            <w:vAlign w:val="center"/>
            <w:tcBorders>
              <w:top w:val="single" w:sz="4" w:color="D8E3D9"/>
              <w:left w:val="single" w:sz="4" w:color="D8E3D9"/>
              <w:bottom w:val="single" w:sz="4" w:color="D8E3D9"/>
              <w:right w:val="single" w:sz="4" w:color="D8E3D9"/>
              <w:insideH w:val="single" w:sz="4" w:color="D8E3D9"/>
              <w:insideV w:val="single" w:sz="4" w:color="D8E3D9"/>
            </w:tcBorders>
            <w:shd w:fill="FFFFFF"/>
            <w:tcMar>
              <w:top w:w="80" w:type="dxa"/>
              <w:bottom w:w="80" w:type="dxa"/>
              <w:start w:w="120" w:type="dxa"/>
              <w:end w:w="120" w:type="dxa"/>
            </w:tcMar>
          </w:tcPr>
          <w:p>
            <w:pPr>
              <w:spacing w:before="0" w:after="0" w:line="276" w:lineRule="auto"/>
              <w:jc w:val="left"/>
            </w:pPr>
            <w:r>
              <w:rPr>
                <w:rFonts w:ascii="Calibri" w:hAnsi="Calibri" w:eastAsia="Calibri"/>
                <w:b w:val="0"/>
                <w:color w:val="17251C"/>
                <w:sz w:val="17"/>
              </w:rPr>
              <w:t>6</w:t>
            </w:r>
          </w:p>
        </w:tc>
        <w:tc>
          <w:tcPr>
            <w:tcW w:type="dxa" w:w="1900"/>
            <w:vAlign w:val="center"/>
            <w:tcBorders>
              <w:top w:val="single" w:sz="4" w:color="D8E3D9"/>
              <w:left w:val="single" w:sz="4" w:color="D8E3D9"/>
              <w:bottom w:val="single" w:sz="4" w:color="D8E3D9"/>
              <w:right w:val="single" w:sz="4" w:color="D8E3D9"/>
              <w:insideH w:val="single" w:sz="4" w:color="D8E3D9"/>
              <w:insideV w:val="single" w:sz="4" w:color="D8E3D9"/>
            </w:tcBorders>
            <w:shd w:fill="FFFFFF"/>
            <w:tcMar>
              <w:top w:w="80" w:type="dxa"/>
              <w:bottom w:w="80" w:type="dxa"/>
              <w:start w:w="120" w:type="dxa"/>
              <w:end w:w="120" w:type="dxa"/>
            </w:tcMar>
          </w:tcPr>
          <w:p>
            <w:pPr>
              <w:spacing w:before="0" w:after="0" w:line="276" w:lineRule="auto"/>
              <w:jc w:val="left"/>
            </w:pPr>
            <w:r>
              <w:rPr>
                <w:rFonts w:ascii="Calibri" w:hAnsi="Calibri" w:eastAsia="Calibri"/>
                <w:b w:val="0"/>
                <w:color w:val="17251C"/>
                <w:sz w:val="17"/>
              </w:rPr>
              <w:t>Semaines 21 à 22</w:t>
            </w:r>
          </w:p>
        </w:tc>
        <w:tc>
          <w:tcPr>
            <w:tcW w:type="dxa" w:w="2600"/>
            <w:vAlign w:val="center"/>
            <w:tcBorders>
              <w:top w:val="single" w:sz="4" w:color="D8E3D9"/>
              <w:left w:val="single" w:sz="4" w:color="D8E3D9"/>
              <w:bottom w:val="single" w:sz="4" w:color="D8E3D9"/>
              <w:right w:val="single" w:sz="4" w:color="D8E3D9"/>
              <w:insideH w:val="single" w:sz="4" w:color="D8E3D9"/>
              <w:insideV w:val="single" w:sz="4" w:color="D8E3D9"/>
            </w:tcBorders>
            <w:shd w:fill="FFFFFF"/>
            <w:tcMar>
              <w:top w:w="80" w:type="dxa"/>
              <w:bottom w:w="80" w:type="dxa"/>
              <w:start w:w="120" w:type="dxa"/>
              <w:end w:w="120" w:type="dxa"/>
            </w:tcMar>
          </w:tcPr>
          <w:p>
            <w:pPr>
              <w:spacing w:before="0" w:after="0" w:line="276" w:lineRule="auto"/>
              <w:jc w:val="left"/>
            </w:pPr>
            <w:r>
              <w:rPr>
                <w:rFonts w:ascii="Calibri" w:hAnsi="Calibri" w:eastAsia="Calibri"/>
                <w:b w:val="0"/>
                <w:color w:val="17251C"/>
                <w:sz w:val="17"/>
              </w:rPr>
              <w:t>Recette et formation</w:t>
            </w:r>
          </w:p>
        </w:tc>
        <w:tc>
          <w:tcPr>
            <w:tcW w:type="dxa" w:w="3960"/>
            <w:vAlign w:val="center"/>
            <w:tcBorders>
              <w:top w:val="single" w:sz="4" w:color="D8E3D9"/>
              <w:left w:val="single" w:sz="4" w:color="D8E3D9"/>
              <w:bottom w:val="single" w:sz="4" w:color="D8E3D9"/>
              <w:right w:val="single" w:sz="4" w:color="D8E3D9"/>
              <w:insideH w:val="single" w:sz="4" w:color="D8E3D9"/>
              <w:insideV w:val="single" w:sz="4" w:color="D8E3D9"/>
            </w:tcBorders>
            <w:shd w:fill="FFFFFF"/>
            <w:tcMar>
              <w:top w:w="80" w:type="dxa"/>
              <w:bottom w:w="80" w:type="dxa"/>
              <w:start w:w="120" w:type="dxa"/>
              <w:end w:w="120" w:type="dxa"/>
            </w:tcMar>
          </w:tcPr>
          <w:p>
            <w:pPr>
              <w:spacing w:before="0" w:after="0" w:line="276" w:lineRule="auto"/>
              <w:jc w:val="left"/>
            </w:pPr>
            <w:r>
              <w:rPr>
                <w:rFonts w:ascii="Calibri" w:hAnsi="Calibri" w:eastAsia="Calibri"/>
                <w:b w:val="0"/>
                <w:color w:val="17251C"/>
                <w:sz w:val="17"/>
              </w:rPr>
              <w:t>Procès-verbal de recette fonctionnelle</w:t>
            </w:r>
          </w:p>
        </w:tc>
      </w:tr>
      <w:tr>
        <w:trPr/>
        <w:tc>
          <w:tcPr>
            <w:tcW w:type="dxa" w:w="900"/>
            <w:vAlign w:val="center"/>
            <w:tcBorders>
              <w:top w:val="single" w:sz="4" w:color="D8E3D9"/>
              <w:left w:val="single" w:sz="4" w:color="D8E3D9"/>
              <w:bottom w:val="single" w:sz="4" w:color="D8E3D9"/>
              <w:right w:val="single" w:sz="4" w:color="D8E3D9"/>
              <w:insideH w:val="single" w:sz="4" w:color="D8E3D9"/>
              <w:insideV w:val="single" w:sz="4" w:color="D8E3D9"/>
            </w:tcBorders>
            <w:shd w:fill="F3F7F3"/>
            <w:tcMar>
              <w:top w:w="80" w:type="dxa"/>
              <w:bottom w:w="80" w:type="dxa"/>
              <w:start w:w="120" w:type="dxa"/>
              <w:end w:w="120" w:type="dxa"/>
            </w:tcMar>
          </w:tcPr>
          <w:p>
            <w:pPr>
              <w:spacing w:before="0" w:after="0" w:line="276" w:lineRule="auto"/>
              <w:jc w:val="left"/>
            </w:pPr>
            <w:r>
              <w:rPr>
                <w:rFonts w:ascii="Calibri" w:hAnsi="Calibri" w:eastAsia="Calibri"/>
                <w:b w:val="0"/>
                <w:color w:val="17251C"/>
                <w:sz w:val="17"/>
              </w:rPr>
              <w:t>7</w:t>
            </w:r>
          </w:p>
        </w:tc>
        <w:tc>
          <w:tcPr>
            <w:tcW w:type="dxa" w:w="1900"/>
            <w:vAlign w:val="center"/>
            <w:tcBorders>
              <w:top w:val="single" w:sz="4" w:color="D8E3D9"/>
              <w:left w:val="single" w:sz="4" w:color="D8E3D9"/>
              <w:bottom w:val="single" w:sz="4" w:color="D8E3D9"/>
              <w:right w:val="single" w:sz="4" w:color="D8E3D9"/>
              <w:insideH w:val="single" w:sz="4" w:color="D8E3D9"/>
              <w:insideV w:val="single" w:sz="4" w:color="D8E3D9"/>
            </w:tcBorders>
            <w:shd w:fill="F3F7F3"/>
            <w:tcMar>
              <w:top w:w="80" w:type="dxa"/>
              <w:bottom w:w="80" w:type="dxa"/>
              <w:start w:w="120" w:type="dxa"/>
              <w:end w:w="120" w:type="dxa"/>
            </w:tcMar>
          </w:tcPr>
          <w:p>
            <w:pPr>
              <w:spacing w:before="0" w:after="0" w:line="276" w:lineRule="auto"/>
              <w:jc w:val="left"/>
            </w:pPr>
            <w:r>
              <w:rPr>
                <w:rFonts w:ascii="Calibri" w:hAnsi="Calibri" w:eastAsia="Calibri"/>
                <w:b w:val="0"/>
                <w:color w:val="17251C"/>
                <w:sz w:val="17"/>
              </w:rPr>
              <w:t>Semaines 23 à 24</w:t>
            </w:r>
          </w:p>
        </w:tc>
        <w:tc>
          <w:tcPr>
            <w:tcW w:type="dxa" w:w="2600"/>
            <w:vAlign w:val="center"/>
            <w:tcBorders>
              <w:top w:val="single" w:sz="4" w:color="D8E3D9"/>
              <w:left w:val="single" w:sz="4" w:color="D8E3D9"/>
              <w:bottom w:val="single" w:sz="4" w:color="D8E3D9"/>
              <w:right w:val="single" w:sz="4" w:color="D8E3D9"/>
              <w:insideH w:val="single" w:sz="4" w:color="D8E3D9"/>
              <w:insideV w:val="single" w:sz="4" w:color="D8E3D9"/>
            </w:tcBorders>
            <w:shd w:fill="F3F7F3"/>
            <w:tcMar>
              <w:top w:w="80" w:type="dxa"/>
              <w:bottom w:w="80" w:type="dxa"/>
              <w:start w:w="120" w:type="dxa"/>
              <w:end w:w="120" w:type="dxa"/>
            </w:tcMar>
          </w:tcPr>
          <w:p>
            <w:pPr>
              <w:spacing w:before="0" w:after="0" w:line="276" w:lineRule="auto"/>
              <w:jc w:val="left"/>
            </w:pPr>
            <w:r>
              <w:rPr>
                <w:rFonts w:ascii="Calibri" w:hAnsi="Calibri" w:eastAsia="Calibri"/>
                <w:b w:val="0"/>
                <w:color w:val="17251C"/>
                <w:sz w:val="17"/>
              </w:rPr>
              <w:t>Mise en production</w:t>
            </w:r>
          </w:p>
        </w:tc>
        <w:tc>
          <w:tcPr>
            <w:tcW w:type="dxa" w:w="3960"/>
            <w:vAlign w:val="center"/>
            <w:tcBorders>
              <w:top w:val="single" w:sz="4" w:color="D8E3D9"/>
              <w:left w:val="single" w:sz="4" w:color="D8E3D9"/>
              <w:bottom w:val="single" w:sz="4" w:color="D8E3D9"/>
              <w:right w:val="single" w:sz="4" w:color="D8E3D9"/>
              <w:insideH w:val="single" w:sz="4" w:color="D8E3D9"/>
              <w:insideV w:val="single" w:sz="4" w:color="D8E3D9"/>
            </w:tcBorders>
            <w:shd w:fill="F3F7F3"/>
            <w:tcMar>
              <w:top w:w="80" w:type="dxa"/>
              <w:bottom w:w="80" w:type="dxa"/>
              <w:start w:w="120" w:type="dxa"/>
              <w:end w:w="120" w:type="dxa"/>
            </w:tcMar>
          </w:tcPr>
          <w:p>
            <w:pPr>
              <w:spacing w:before="0" w:after="0" w:line="276" w:lineRule="auto"/>
              <w:jc w:val="left"/>
            </w:pPr>
            <w:r>
              <w:rPr>
                <w:rFonts w:ascii="Calibri" w:hAnsi="Calibri" w:eastAsia="Calibri"/>
                <w:b w:val="0"/>
                <w:color w:val="17251C"/>
                <w:sz w:val="17"/>
              </w:rPr>
              <w:t>Démarrage, sauvegardes et support actif</w:t>
            </w:r>
          </w:p>
        </w:tc>
      </w:tr>
      <w:tr>
        <w:trPr/>
        <w:tc>
          <w:tcPr>
            <w:tcW w:type="dxa" w:w="900"/>
            <w:vAlign w:val="center"/>
            <w:tcBorders>
              <w:top w:val="single" w:sz="4" w:color="D8E3D9"/>
              <w:left w:val="single" w:sz="4" w:color="D8E3D9"/>
              <w:bottom w:val="single" w:sz="4" w:color="D8E3D9"/>
              <w:right w:val="single" w:sz="4" w:color="D8E3D9"/>
              <w:insideH w:val="single" w:sz="4" w:color="D8E3D9"/>
              <w:insideV w:val="single" w:sz="4" w:color="D8E3D9"/>
            </w:tcBorders>
            <w:shd w:fill="FFFFFF"/>
            <w:tcMar>
              <w:top w:w="80" w:type="dxa"/>
              <w:bottom w:w="80" w:type="dxa"/>
              <w:start w:w="120" w:type="dxa"/>
              <w:end w:w="120" w:type="dxa"/>
            </w:tcMar>
          </w:tcPr>
          <w:p>
            <w:pPr>
              <w:spacing w:before="0" w:after="0" w:line="276" w:lineRule="auto"/>
              <w:jc w:val="left"/>
            </w:pPr>
            <w:r>
              <w:rPr>
                <w:rFonts w:ascii="Calibri" w:hAnsi="Calibri" w:eastAsia="Calibri"/>
                <w:b w:val="0"/>
                <w:color w:val="17251C"/>
                <w:sz w:val="17"/>
              </w:rPr>
              <w:t>8</w:t>
            </w:r>
          </w:p>
        </w:tc>
        <w:tc>
          <w:tcPr>
            <w:tcW w:type="dxa" w:w="1900"/>
            <w:vAlign w:val="center"/>
            <w:tcBorders>
              <w:top w:val="single" w:sz="4" w:color="D8E3D9"/>
              <w:left w:val="single" w:sz="4" w:color="D8E3D9"/>
              <w:bottom w:val="single" w:sz="4" w:color="D8E3D9"/>
              <w:right w:val="single" w:sz="4" w:color="D8E3D9"/>
              <w:insideH w:val="single" w:sz="4" w:color="D8E3D9"/>
              <w:insideV w:val="single" w:sz="4" w:color="D8E3D9"/>
            </w:tcBorders>
            <w:shd w:fill="FFFFFF"/>
            <w:tcMar>
              <w:top w:w="80" w:type="dxa"/>
              <w:bottom w:w="80" w:type="dxa"/>
              <w:start w:w="120" w:type="dxa"/>
              <w:end w:w="120" w:type="dxa"/>
            </w:tcMar>
          </w:tcPr>
          <w:p>
            <w:pPr>
              <w:spacing w:before="0" w:after="0" w:line="276" w:lineRule="auto"/>
              <w:jc w:val="left"/>
            </w:pPr>
            <w:r>
              <w:rPr>
                <w:rFonts w:ascii="Calibri" w:hAnsi="Calibri" w:eastAsia="Calibri"/>
                <w:b w:val="0"/>
                <w:color w:val="17251C"/>
                <w:sz w:val="17"/>
              </w:rPr>
              <w:t>4 semaines après démarrage</w:t>
            </w:r>
          </w:p>
        </w:tc>
        <w:tc>
          <w:tcPr>
            <w:tcW w:type="dxa" w:w="2600"/>
            <w:vAlign w:val="center"/>
            <w:tcBorders>
              <w:top w:val="single" w:sz="4" w:color="D8E3D9"/>
              <w:left w:val="single" w:sz="4" w:color="D8E3D9"/>
              <w:bottom w:val="single" w:sz="4" w:color="D8E3D9"/>
              <w:right w:val="single" w:sz="4" w:color="D8E3D9"/>
              <w:insideH w:val="single" w:sz="4" w:color="D8E3D9"/>
              <w:insideV w:val="single" w:sz="4" w:color="D8E3D9"/>
            </w:tcBorders>
            <w:shd w:fill="FFFFFF"/>
            <w:tcMar>
              <w:top w:w="80" w:type="dxa"/>
              <w:bottom w:w="80" w:type="dxa"/>
              <w:start w:w="120" w:type="dxa"/>
              <w:end w:w="120" w:type="dxa"/>
            </w:tcMar>
          </w:tcPr>
          <w:p>
            <w:pPr>
              <w:spacing w:before="0" w:after="0" w:line="276" w:lineRule="auto"/>
              <w:jc w:val="left"/>
            </w:pPr>
            <w:r>
              <w:rPr>
                <w:rFonts w:ascii="Calibri" w:hAnsi="Calibri" w:eastAsia="Calibri"/>
                <w:b w:val="0"/>
                <w:color w:val="17251C"/>
                <w:sz w:val="17"/>
              </w:rPr>
              <w:t>Hypercare</w:t>
            </w:r>
          </w:p>
        </w:tc>
        <w:tc>
          <w:tcPr>
            <w:tcW w:type="dxa" w:w="3960"/>
            <w:vAlign w:val="center"/>
            <w:tcBorders>
              <w:top w:val="single" w:sz="4" w:color="D8E3D9"/>
              <w:left w:val="single" w:sz="4" w:color="D8E3D9"/>
              <w:bottom w:val="single" w:sz="4" w:color="D8E3D9"/>
              <w:right w:val="single" w:sz="4" w:color="D8E3D9"/>
              <w:insideH w:val="single" w:sz="4" w:color="D8E3D9"/>
              <w:insideV w:val="single" w:sz="4" w:color="D8E3D9"/>
            </w:tcBorders>
            <w:shd w:fill="FFFFFF"/>
            <w:tcMar>
              <w:top w:w="80" w:type="dxa"/>
              <w:bottom w:w="80" w:type="dxa"/>
              <w:start w:w="120" w:type="dxa"/>
              <w:end w:w="120" w:type="dxa"/>
            </w:tcMar>
          </w:tcPr>
          <w:p>
            <w:pPr>
              <w:spacing w:before="0" w:after="0" w:line="276" w:lineRule="auto"/>
              <w:jc w:val="left"/>
            </w:pPr>
            <w:r>
              <w:rPr>
                <w:rFonts w:ascii="Calibri" w:hAnsi="Calibri" w:eastAsia="Calibri"/>
                <w:b w:val="0"/>
                <w:color w:val="17251C"/>
                <w:sz w:val="17"/>
              </w:rPr>
              <w:t>Stabilisation et accompagnement renforcé</w:t>
            </w:r>
          </w:p>
        </w:tc>
      </w:tr>
    </w:tbl>
    <w:p>
      <w:pPr>
        <w:spacing w:after="40"/>
      </w:pPr>
    </w:p>
    <w:p>
      <w:pPr>
        <w:pStyle w:val="Heading2"/>
        <w:keepNext/>
      </w:pPr>
      <w:r>
        <w:t>6.1 Principaux livrables</w:t>
      </w:r>
    </w:p>
    <w:p>
      <w:pPr>
        <w:spacing w:before="0" w:after="80" w:line="290" w:lineRule="auto"/>
        <w:jc w:val="left"/>
        <w:numPr>
          <w:ilvl w:val="0"/>
          <w:numId w:val="10"/>
        </w:numPr>
      </w:pPr>
      <w:r>
        <w:rPr>
          <w:rFonts w:ascii="Calibri" w:hAnsi="Calibri" w:eastAsia="Calibri"/>
          <w:color w:val="17251C"/>
          <w:sz w:val="22"/>
        </w:rPr>
        <w:t>Dossier de conception fonctionnelle et cartographie des processus cibles.</w:t>
      </w:r>
    </w:p>
    <w:p>
      <w:pPr>
        <w:spacing w:before="0" w:after="80" w:line="290" w:lineRule="auto"/>
        <w:jc w:val="left"/>
        <w:numPr>
          <w:ilvl w:val="0"/>
          <w:numId w:val="10"/>
        </w:numPr>
      </w:pPr>
      <w:r>
        <w:rPr>
          <w:rFonts w:ascii="Calibri" w:hAnsi="Calibri" w:eastAsia="Calibri"/>
          <w:color w:val="17251C"/>
          <w:sz w:val="22"/>
        </w:rPr>
        <w:t>Prototype validé et dossier d’architecture technique.</w:t>
      </w:r>
    </w:p>
    <w:p>
      <w:pPr>
        <w:spacing w:before="0" w:after="80" w:line="290" w:lineRule="auto"/>
        <w:jc w:val="left"/>
        <w:numPr>
          <w:ilvl w:val="0"/>
          <w:numId w:val="10"/>
        </w:numPr>
      </w:pPr>
      <w:r>
        <w:rPr>
          <w:rFonts w:ascii="Calibri" w:hAnsi="Calibri" w:eastAsia="Calibri"/>
          <w:color w:val="17251C"/>
          <w:sz w:val="22"/>
        </w:rPr>
        <w:t>Applications configurées, code source, scripts de déploiement et documentation.</w:t>
      </w:r>
    </w:p>
    <w:p>
      <w:pPr>
        <w:spacing w:before="0" w:after="80" w:line="290" w:lineRule="auto"/>
        <w:jc w:val="left"/>
        <w:numPr>
          <w:ilvl w:val="0"/>
          <w:numId w:val="10"/>
        </w:numPr>
      </w:pPr>
      <w:r>
        <w:rPr>
          <w:rFonts w:ascii="Calibri" w:hAnsi="Calibri" w:eastAsia="Calibri"/>
          <w:color w:val="17251C"/>
          <w:sz w:val="22"/>
        </w:rPr>
        <w:t>Plan de migration, données reprises et rapport de contrôle.</w:t>
      </w:r>
    </w:p>
    <w:p>
      <w:pPr>
        <w:spacing w:before="0" w:after="80" w:line="290" w:lineRule="auto"/>
        <w:jc w:val="left"/>
        <w:numPr>
          <w:ilvl w:val="0"/>
          <w:numId w:val="10"/>
        </w:numPr>
      </w:pPr>
      <w:r>
        <w:rPr>
          <w:rFonts w:ascii="Calibri" w:hAnsi="Calibri" w:eastAsia="Calibri"/>
          <w:color w:val="17251C"/>
          <w:sz w:val="22"/>
        </w:rPr>
        <w:t>Cahier de recette, résultats des tests et procès-verbal de validation.</w:t>
      </w:r>
    </w:p>
    <w:p>
      <w:pPr>
        <w:spacing w:before="0" w:after="80" w:line="290" w:lineRule="auto"/>
        <w:jc w:val="left"/>
        <w:numPr>
          <w:ilvl w:val="0"/>
          <w:numId w:val="10"/>
        </w:numPr>
      </w:pPr>
      <w:r>
        <w:rPr>
          <w:rFonts w:ascii="Calibri" w:hAnsi="Calibri" w:eastAsia="Calibri"/>
          <w:color w:val="17251C"/>
          <w:sz w:val="22"/>
        </w:rPr>
        <w:t>Guides utilisateurs, procédures d’exploitation et supports de formation.</w:t>
      </w:r>
    </w:p>
    <w:p>
      <w:pPr>
        <w:spacing w:before="0" w:after="80" w:line="290" w:lineRule="auto"/>
        <w:jc w:val="left"/>
        <w:numPr>
          <w:ilvl w:val="0"/>
          <w:numId w:val="10"/>
        </w:numPr>
      </w:pPr>
      <w:r>
        <w:rPr>
          <w:rFonts w:ascii="Calibri" w:hAnsi="Calibri" w:eastAsia="Calibri"/>
          <w:color w:val="17251C"/>
          <w:sz w:val="22"/>
        </w:rPr>
        <w:t>Plan de sauvegarde, supervision et procédure de support.</w:t>
      </w:r>
    </w:p>
    <w:p>
      <w:pPr>
        <w:pStyle w:val="Heading1"/>
        <w:keepNext/>
      </w:pPr>
      <w:r>
        <w:t>7. Gouvernance, formation et support</w:t>
      </w:r>
    </w:p>
    <w:p>
      <w:pPr>
        <w:pStyle w:val="Heading2"/>
        <w:keepNext/>
      </w:pPr>
      <w:r>
        <w:t>7.1 Gouvernance</w:t>
      </w:r>
    </w:p>
    <w:p>
      <w:pPr>
        <w:spacing w:before="0" w:after="80" w:line="290" w:lineRule="auto"/>
        <w:jc w:val="left"/>
        <w:numPr>
          <w:ilvl w:val="0"/>
          <w:numId w:val="10"/>
        </w:numPr>
      </w:pPr>
      <w:r>
        <w:rPr>
          <w:rFonts w:ascii="Calibri" w:hAnsi="Calibri" w:eastAsia="Calibri"/>
          <w:b/>
          <w:color w:val="17251C"/>
          <w:sz w:val="22"/>
        </w:rPr>
        <w:t xml:space="preserve">Comité de pilotage mensuel : </w:t>
      </w:r>
      <w:r>
        <w:rPr>
          <w:rFonts w:ascii="Calibri" w:hAnsi="Calibri" w:eastAsia="Calibri"/>
          <w:color w:val="17251C"/>
          <w:sz w:val="22"/>
        </w:rPr>
        <w:t>direction générale, sponsor, chef de projet client et chef de projet intégrateur.</w:t>
      </w:r>
    </w:p>
    <w:p>
      <w:pPr>
        <w:spacing w:before="0" w:after="80" w:line="290" w:lineRule="auto"/>
        <w:jc w:val="left"/>
        <w:numPr>
          <w:ilvl w:val="0"/>
          <w:numId w:val="10"/>
        </w:numPr>
      </w:pPr>
      <w:r>
        <w:rPr>
          <w:rFonts w:ascii="Calibri" w:hAnsi="Calibri" w:eastAsia="Calibri"/>
          <w:b/>
          <w:color w:val="17251C"/>
          <w:sz w:val="22"/>
        </w:rPr>
        <w:t xml:space="preserve">Point projet hebdomadaire : </w:t>
      </w:r>
      <w:r>
        <w:rPr>
          <w:rFonts w:ascii="Calibri" w:hAnsi="Calibri" w:eastAsia="Calibri"/>
          <w:color w:val="17251C"/>
          <w:sz w:val="22"/>
        </w:rPr>
        <w:t>avancement, décisions, actions, risques, données et tests.</w:t>
      </w:r>
    </w:p>
    <w:p>
      <w:pPr>
        <w:spacing w:before="0" w:after="80" w:line="290" w:lineRule="auto"/>
        <w:jc w:val="left"/>
        <w:numPr>
          <w:ilvl w:val="0"/>
          <w:numId w:val="10"/>
        </w:numPr>
      </w:pPr>
      <w:r>
        <w:rPr>
          <w:rFonts w:ascii="Calibri" w:hAnsi="Calibri" w:eastAsia="Calibri"/>
          <w:b/>
          <w:color w:val="17251C"/>
          <w:sz w:val="22"/>
        </w:rPr>
        <w:t xml:space="preserve">Référents métiers : </w:t>
      </w:r>
      <w:r>
        <w:rPr>
          <w:rFonts w:ascii="Calibri" w:hAnsi="Calibri" w:eastAsia="Calibri"/>
          <w:color w:val="17251C"/>
          <w:sz w:val="22"/>
        </w:rPr>
        <w:t>BTP, finance, ventes, transport, restaurant, salles, lavage, traiteur et résidences.</w:t>
      </w:r>
    </w:p>
    <w:p>
      <w:pPr>
        <w:spacing w:before="0" w:after="80" w:line="290" w:lineRule="auto"/>
        <w:jc w:val="left"/>
        <w:numPr>
          <w:ilvl w:val="0"/>
          <w:numId w:val="10"/>
        </w:numPr>
      </w:pPr>
      <w:r>
        <w:rPr>
          <w:rFonts w:ascii="Calibri" w:hAnsi="Calibri" w:eastAsia="Calibri"/>
          <w:b/>
          <w:color w:val="17251C"/>
          <w:sz w:val="22"/>
        </w:rPr>
        <w:t xml:space="preserve">Démonstration bimensuelle : </w:t>
      </w:r>
      <w:r>
        <w:rPr>
          <w:rFonts w:ascii="Calibri" w:hAnsi="Calibri" w:eastAsia="Calibri"/>
          <w:color w:val="17251C"/>
          <w:sz w:val="22"/>
        </w:rPr>
        <w:t>validation progressive des fonctions et collecte des retours.</w:t>
      </w:r>
    </w:p>
    <w:p>
      <w:pPr>
        <w:pStyle w:val="Heading2"/>
        <w:keepNext/>
      </w:pPr>
      <w:r>
        <w:t>7.2 Formation et transfert</w:t>
      </w:r>
    </w:p>
    <w:tbl>
      <w:tblPr>
        <w:tblW w:type="dxa" w:w="9360"/>
        <w:jc w:val="left"/>
        <w:tblLayout w:type="fixed"/>
        <w:tblLook w:firstColumn="1" w:firstRow="1" w:lastColumn="0" w:lastRow="0" w:noHBand="0" w:noVBand="1" w:val="04A0"/>
        <w:tblInd w:type="dxa" w:w="120"/>
      </w:tblPr>
      <w:tblGrid>
        <w:gridCol w:w="2300"/>
        <w:gridCol w:w="1800"/>
        <w:gridCol w:w="5260"/>
      </w:tblGrid>
      <w:tr>
        <w:trPr>
          <w:tblHeader w:val="true"/>
        </w:trPr>
        <w:tc>
          <w:tcPr>
            <w:tcW w:type="dxa" w:w="2300"/>
            <w:vAlign w:val="center"/>
            <w:tcBorders>
              <w:top w:val="single" w:sz="4" w:color="D8E3D9"/>
              <w:left w:val="single" w:sz="4" w:color="D8E3D9"/>
              <w:bottom w:val="single" w:sz="4" w:color="D8E3D9"/>
              <w:right w:val="single" w:sz="4" w:color="D8E3D9"/>
              <w:insideH w:val="single" w:sz="4" w:color="D8E3D9"/>
              <w:insideV w:val="single" w:sz="4" w:color="D8E3D9"/>
            </w:tcBorders>
            <w:shd w:fill="234E2B"/>
            <w:tcMar>
              <w:top w:w="80" w:type="dxa"/>
              <w:bottom w:w="80" w:type="dxa"/>
              <w:start w:w="120" w:type="dxa"/>
              <w:end w:w="120" w:type="dxa"/>
            </w:tcMar>
          </w:tcPr>
          <w:p>
            <w:pPr>
              <w:spacing w:before="0" w:after="0" w:line="276" w:lineRule="auto"/>
              <w:jc w:val="left"/>
            </w:pPr>
            <w:r>
              <w:rPr>
                <w:rFonts w:ascii="Calibri" w:hAnsi="Calibri" w:eastAsia="Calibri"/>
                <w:b/>
                <w:color w:val="FFFFFF"/>
                <w:sz w:val="18"/>
              </w:rPr>
              <w:t>Public</w:t>
            </w:r>
          </w:p>
        </w:tc>
        <w:tc>
          <w:tcPr>
            <w:tcW w:type="dxa" w:w="1800"/>
            <w:vAlign w:val="center"/>
            <w:tcBorders>
              <w:top w:val="single" w:sz="4" w:color="D8E3D9"/>
              <w:left w:val="single" w:sz="4" w:color="D8E3D9"/>
              <w:bottom w:val="single" w:sz="4" w:color="D8E3D9"/>
              <w:right w:val="single" w:sz="4" w:color="D8E3D9"/>
              <w:insideH w:val="single" w:sz="4" w:color="D8E3D9"/>
              <w:insideV w:val="single" w:sz="4" w:color="D8E3D9"/>
            </w:tcBorders>
            <w:shd w:fill="234E2B"/>
            <w:tcMar>
              <w:top w:w="80" w:type="dxa"/>
              <w:bottom w:w="80" w:type="dxa"/>
              <w:start w:w="120" w:type="dxa"/>
              <w:end w:w="120" w:type="dxa"/>
            </w:tcMar>
          </w:tcPr>
          <w:p>
            <w:pPr>
              <w:spacing w:before="0" w:after="0" w:line="276" w:lineRule="auto"/>
              <w:jc w:val="left"/>
            </w:pPr>
            <w:r>
              <w:rPr>
                <w:rFonts w:ascii="Calibri" w:hAnsi="Calibri" w:eastAsia="Calibri"/>
                <w:b/>
                <w:color w:val="FFFFFF"/>
                <w:sz w:val="18"/>
              </w:rPr>
              <w:t>Durée indicative</w:t>
            </w:r>
          </w:p>
        </w:tc>
        <w:tc>
          <w:tcPr>
            <w:tcW w:type="dxa" w:w="5260"/>
            <w:vAlign w:val="center"/>
            <w:tcBorders>
              <w:top w:val="single" w:sz="4" w:color="D8E3D9"/>
              <w:left w:val="single" w:sz="4" w:color="D8E3D9"/>
              <w:bottom w:val="single" w:sz="4" w:color="D8E3D9"/>
              <w:right w:val="single" w:sz="4" w:color="D8E3D9"/>
              <w:insideH w:val="single" w:sz="4" w:color="D8E3D9"/>
              <w:insideV w:val="single" w:sz="4" w:color="D8E3D9"/>
            </w:tcBorders>
            <w:shd w:fill="234E2B"/>
            <w:tcMar>
              <w:top w:w="80" w:type="dxa"/>
              <w:bottom w:w="80" w:type="dxa"/>
              <w:start w:w="120" w:type="dxa"/>
              <w:end w:w="120" w:type="dxa"/>
            </w:tcMar>
          </w:tcPr>
          <w:p>
            <w:pPr>
              <w:spacing w:before="0" w:after="0" w:line="276" w:lineRule="auto"/>
              <w:jc w:val="left"/>
            </w:pPr>
            <w:r>
              <w:rPr>
                <w:rFonts w:ascii="Calibri" w:hAnsi="Calibri" w:eastAsia="Calibri"/>
                <w:b/>
                <w:color w:val="FFFFFF"/>
                <w:sz w:val="18"/>
              </w:rPr>
              <w:t>Contenu</w:t>
            </w:r>
          </w:p>
        </w:tc>
      </w:tr>
      <w:tr>
        <w:trPr/>
        <w:tc>
          <w:tcPr>
            <w:tcW w:type="dxa" w:w="2300"/>
            <w:vAlign w:val="center"/>
            <w:tcBorders>
              <w:top w:val="single" w:sz="4" w:color="D8E3D9"/>
              <w:left w:val="single" w:sz="4" w:color="D8E3D9"/>
              <w:bottom w:val="single" w:sz="4" w:color="D8E3D9"/>
              <w:right w:val="single" w:sz="4" w:color="D8E3D9"/>
              <w:insideH w:val="single" w:sz="4" w:color="D8E3D9"/>
              <w:insideV w:val="single" w:sz="4" w:color="D8E3D9"/>
            </w:tcBorders>
            <w:shd w:fill="F3F7F3"/>
            <w:tcMar>
              <w:top w:w="80" w:type="dxa"/>
              <w:bottom w:w="80" w:type="dxa"/>
              <w:start w:w="120" w:type="dxa"/>
              <w:end w:w="120" w:type="dxa"/>
            </w:tcMar>
          </w:tcPr>
          <w:p>
            <w:pPr>
              <w:spacing w:before="0" w:after="0" w:line="276" w:lineRule="auto"/>
              <w:jc w:val="left"/>
            </w:pPr>
            <w:r>
              <w:rPr>
                <w:rFonts w:ascii="Calibri" w:hAnsi="Calibri" w:eastAsia="Calibri"/>
                <w:b w:val="0"/>
                <w:color w:val="17251C"/>
                <w:sz w:val="18"/>
              </w:rPr>
              <w:t>Administrateurs</w:t>
            </w:r>
          </w:p>
        </w:tc>
        <w:tc>
          <w:tcPr>
            <w:tcW w:type="dxa" w:w="1800"/>
            <w:vAlign w:val="center"/>
            <w:tcBorders>
              <w:top w:val="single" w:sz="4" w:color="D8E3D9"/>
              <w:left w:val="single" w:sz="4" w:color="D8E3D9"/>
              <w:bottom w:val="single" w:sz="4" w:color="D8E3D9"/>
              <w:right w:val="single" w:sz="4" w:color="D8E3D9"/>
              <w:insideH w:val="single" w:sz="4" w:color="D8E3D9"/>
              <w:insideV w:val="single" w:sz="4" w:color="D8E3D9"/>
            </w:tcBorders>
            <w:shd w:fill="F3F7F3"/>
            <w:tcMar>
              <w:top w:w="80" w:type="dxa"/>
              <w:bottom w:w="80" w:type="dxa"/>
              <w:start w:w="120" w:type="dxa"/>
              <w:end w:w="120" w:type="dxa"/>
            </w:tcMar>
          </w:tcPr>
          <w:p>
            <w:pPr>
              <w:spacing w:before="0" w:after="0" w:line="276" w:lineRule="auto"/>
              <w:jc w:val="left"/>
            </w:pPr>
            <w:r>
              <w:rPr>
                <w:rFonts w:ascii="Calibri" w:hAnsi="Calibri" w:eastAsia="Calibri"/>
                <w:b w:val="0"/>
                <w:color w:val="17251C"/>
                <w:sz w:val="18"/>
              </w:rPr>
              <w:t>2 jours</w:t>
            </w:r>
          </w:p>
        </w:tc>
        <w:tc>
          <w:tcPr>
            <w:tcW w:type="dxa" w:w="5260"/>
            <w:vAlign w:val="center"/>
            <w:tcBorders>
              <w:top w:val="single" w:sz="4" w:color="D8E3D9"/>
              <w:left w:val="single" w:sz="4" w:color="D8E3D9"/>
              <w:bottom w:val="single" w:sz="4" w:color="D8E3D9"/>
              <w:right w:val="single" w:sz="4" w:color="D8E3D9"/>
              <w:insideH w:val="single" w:sz="4" w:color="D8E3D9"/>
              <w:insideV w:val="single" w:sz="4" w:color="D8E3D9"/>
            </w:tcBorders>
            <w:shd w:fill="F3F7F3"/>
            <w:tcMar>
              <w:top w:w="80" w:type="dxa"/>
              <w:bottom w:w="80" w:type="dxa"/>
              <w:start w:w="120" w:type="dxa"/>
              <w:end w:w="120" w:type="dxa"/>
            </w:tcMar>
          </w:tcPr>
          <w:p>
            <w:pPr>
              <w:spacing w:before="0" w:after="0" w:line="276" w:lineRule="auto"/>
              <w:jc w:val="left"/>
            </w:pPr>
            <w:r>
              <w:rPr>
                <w:rFonts w:ascii="Calibri" w:hAnsi="Calibri" w:eastAsia="Calibri"/>
                <w:b w:val="0"/>
                <w:color w:val="17251C"/>
                <w:sz w:val="18"/>
              </w:rPr>
              <w:t>Paramétrage, profils, référentiels, sauvegardes et support de niveau 1</w:t>
            </w:r>
          </w:p>
        </w:tc>
      </w:tr>
      <w:tr>
        <w:trPr/>
        <w:tc>
          <w:tcPr>
            <w:tcW w:type="dxa" w:w="2300"/>
            <w:vAlign w:val="center"/>
            <w:tcBorders>
              <w:top w:val="single" w:sz="4" w:color="D8E3D9"/>
              <w:left w:val="single" w:sz="4" w:color="D8E3D9"/>
              <w:bottom w:val="single" w:sz="4" w:color="D8E3D9"/>
              <w:right w:val="single" w:sz="4" w:color="D8E3D9"/>
              <w:insideH w:val="single" w:sz="4" w:color="D8E3D9"/>
              <w:insideV w:val="single" w:sz="4" w:color="D8E3D9"/>
            </w:tcBorders>
            <w:shd w:fill="FFFFFF"/>
            <w:tcMar>
              <w:top w:w="80" w:type="dxa"/>
              <w:bottom w:w="80" w:type="dxa"/>
              <w:start w:w="120" w:type="dxa"/>
              <w:end w:w="120" w:type="dxa"/>
            </w:tcMar>
          </w:tcPr>
          <w:p>
            <w:pPr>
              <w:spacing w:before="0" w:after="0" w:line="276" w:lineRule="auto"/>
              <w:jc w:val="left"/>
            </w:pPr>
            <w:r>
              <w:rPr>
                <w:rFonts w:ascii="Calibri" w:hAnsi="Calibri" w:eastAsia="Calibri"/>
                <w:b w:val="0"/>
                <w:color w:val="17251C"/>
                <w:sz w:val="18"/>
              </w:rPr>
              <w:t>Super-utilisateurs</w:t>
            </w:r>
          </w:p>
        </w:tc>
        <w:tc>
          <w:tcPr>
            <w:tcW w:type="dxa" w:w="1800"/>
            <w:vAlign w:val="center"/>
            <w:tcBorders>
              <w:top w:val="single" w:sz="4" w:color="D8E3D9"/>
              <w:left w:val="single" w:sz="4" w:color="D8E3D9"/>
              <w:bottom w:val="single" w:sz="4" w:color="D8E3D9"/>
              <w:right w:val="single" w:sz="4" w:color="D8E3D9"/>
              <w:insideH w:val="single" w:sz="4" w:color="D8E3D9"/>
              <w:insideV w:val="single" w:sz="4" w:color="D8E3D9"/>
            </w:tcBorders>
            <w:shd w:fill="FFFFFF"/>
            <w:tcMar>
              <w:top w:w="80" w:type="dxa"/>
              <w:bottom w:w="80" w:type="dxa"/>
              <w:start w:w="120" w:type="dxa"/>
              <w:end w:w="120" w:type="dxa"/>
            </w:tcMar>
          </w:tcPr>
          <w:p>
            <w:pPr>
              <w:spacing w:before="0" w:after="0" w:line="276" w:lineRule="auto"/>
              <w:jc w:val="left"/>
            </w:pPr>
            <w:r>
              <w:rPr>
                <w:rFonts w:ascii="Calibri" w:hAnsi="Calibri" w:eastAsia="Calibri"/>
                <w:b w:val="0"/>
                <w:color w:val="17251C"/>
                <w:sz w:val="18"/>
              </w:rPr>
              <w:t>3 jours</w:t>
            </w:r>
          </w:p>
        </w:tc>
        <w:tc>
          <w:tcPr>
            <w:tcW w:type="dxa" w:w="5260"/>
            <w:vAlign w:val="center"/>
            <w:tcBorders>
              <w:top w:val="single" w:sz="4" w:color="D8E3D9"/>
              <w:left w:val="single" w:sz="4" w:color="D8E3D9"/>
              <w:bottom w:val="single" w:sz="4" w:color="D8E3D9"/>
              <w:right w:val="single" w:sz="4" w:color="D8E3D9"/>
              <w:insideH w:val="single" w:sz="4" w:color="D8E3D9"/>
              <w:insideV w:val="single" w:sz="4" w:color="D8E3D9"/>
            </w:tcBorders>
            <w:shd w:fill="FFFFFF"/>
            <w:tcMar>
              <w:top w:w="80" w:type="dxa"/>
              <w:bottom w:w="80" w:type="dxa"/>
              <w:start w:w="120" w:type="dxa"/>
              <w:end w:w="120" w:type="dxa"/>
            </w:tcMar>
          </w:tcPr>
          <w:p>
            <w:pPr>
              <w:spacing w:before="0" w:after="0" w:line="276" w:lineRule="auto"/>
              <w:jc w:val="left"/>
            </w:pPr>
            <w:r>
              <w:rPr>
                <w:rFonts w:ascii="Calibri" w:hAnsi="Calibri" w:eastAsia="Calibri"/>
                <w:b w:val="0"/>
                <w:color w:val="17251C"/>
                <w:sz w:val="18"/>
              </w:rPr>
              <w:t>Processus métiers, contrôles, recette et accompagnement des équipes</w:t>
            </w:r>
          </w:p>
        </w:tc>
      </w:tr>
      <w:tr>
        <w:trPr/>
        <w:tc>
          <w:tcPr>
            <w:tcW w:type="dxa" w:w="2300"/>
            <w:vAlign w:val="center"/>
            <w:tcBorders>
              <w:top w:val="single" w:sz="4" w:color="D8E3D9"/>
              <w:left w:val="single" w:sz="4" w:color="D8E3D9"/>
              <w:bottom w:val="single" w:sz="4" w:color="D8E3D9"/>
              <w:right w:val="single" w:sz="4" w:color="D8E3D9"/>
              <w:insideH w:val="single" w:sz="4" w:color="D8E3D9"/>
              <w:insideV w:val="single" w:sz="4" w:color="D8E3D9"/>
            </w:tcBorders>
            <w:shd w:fill="F3F7F3"/>
            <w:tcMar>
              <w:top w:w="80" w:type="dxa"/>
              <w:bottom w:w="80" w:type="dxa"/>
              <w:start w:w="120" w:type="dxa"/>
              <w:end w:w="120" w:type="dxa"/>
            </w:tcMar>
          </w:tcPr>
          <w:p>
            <w:pPr>
              <w:spacing w:before="0" w:after="0" w:line="276" w:lineRule="auto"/>
              <w:jc w:val="left"/>
            </w:pPr>
            <w:r>
              <w:rPr>
                <w:rFonts w:ascii="Calibri" w:hAnsi="Calibri" w:eastAsia="Calibri"/>
                <w:b w:val="0"/>
                <w:color w:val="17251C"/>
                <w:sz w:val="18"/>
              </w:rPr>
              <w:t>Utilisateurs finaux</w:t>
            </w:r>
          </w:p>
        </w:tc>
        <w:tc>
          <w:tcPr>
            <w:tcW w:type="dxa" w:w="1800"/>
            <w:vAlign w:val="center"/>
            <w:tcBorders>
              <w:top w:val="single" w:sz="4" w:color="D8E3D9"/>
              <w:left w:val="single" w:sz="4" w:color="D8E3D9"/>
              <w:bottom w:val="single" w:sz="4" w:color="D8E3D9"/>
              <w:right w:val="single" w:sz="4" w:color="D8E3D9"/>
              <w:insideH w:val="single" w:sz="4" w:color="D8E3D9"/>
              <w:insideV w:val="single" w:sz="4" w:color="D8E3D9"/>
            </w:tcBorders>
            <w:shd w:fill="F3F7F3"/>
            <w:tcMar>
              <w:top w:w="80" w:type="dxa"/>
              <w:bottom w:w="80" w:type="dxa"/>
              <w:start w:w="120" w:type="dxa"/>
              <w:end w:w="120" w:type="dxa"/>
            </w:tcMar>
          </w:tcPr>
          <w:p>
            <w:pPr>
              <w:spacing w:before="0" w:after="0" w:line="276" w:lineRule="auto"/>
              <w:jc w:val="left"/>
            </w:pPr>
            <w:r>
              <w:rPr>
                <w:rFonts w:ascii="Calibri" w:hAnsi="Calibri" w:eastAsia="Calibri"/>
                <w:b w:val="0"/>
                <w:color w:val="17251C"/>
                <w:sz w:val="18"/>
              </w:rPr>
              <w:t>6 sessions</w:t>
            </w:r>
          </w:p>
        </w:tc>
        <w:tc>
          <w:tcPr>
            <w:tcW w:type="dxa" w:w="5260"/>
            <w:vAlign w:val="center"/>
            <w:tcBorders>
              <w:top w:val="single" w:sz="4" w:color="D8E3D9"/>
              <w:left w:val="single" w:sz="4" w:color="D8E3D9"/>
              <w:bottom w:val="single" w:sz="4" w:color="D8E3D9"/>
              <w:right w:val="single" w:sz="4" w:color="D8E3D9"/>
              <w:insideH w:val="single" w:sz="4" w:color="D8E3D9"/>
              <w:insideV w:val="single" w:sz="4" w:color="D8E3D9"/>
            </w:tcBorders>
            <w:shd w:fill="F3F7F3"/>
            <w:tcMar>
              <w:top w:w="80" w:type="dxa"/>
              <w:bottom w:w="80" w:type="dxa"/>
              <w:start w:w="120" w:type="dxa"/>
              <w:end w:w="120" w:type="dxa"/>
            </w:tcMar>
          </w:tcPr>
          <w:p>
            <w:pPr>
              <w:spacing w:before="0" w:after="0" w:line="276" w:lineRule="auto"/>
              <w:jc w:val="left"/>
            </w:pPr>
            <w:r>
              <w:rPr>
                <w:rFonts w:ascii="Calibri" w:hAnsi="Calibri" w:eastAsia="Calibri"/>
                <w:b w:val="0"/>
                <w:color w:val="17251C"/>
                <w:sz w:val="18"/>
              </w:rPr>
              <w:t>Formation par rôle et exercices sur données de démonstration</w:t>
            </w:r>
          </w:p>
        </w:tc>
      </w:tr>
      <w:tr>
        <w:trPr/>
        <w:tc>
          <w:tcPr>
            <w:tcW w:type="dxa" w:w="2300"/>
            <w:vAlign w:val="center"/>
            <w:tcBorders>
              <w:top w:val="single" w:sz="4" w:color="D8E3D9"/>
              <w:left w:val="single" w:sz="4" w:color="D8E3D9"/>
              <w:bottom w:val="single" w:sz="4" w:color="D8E3D9"/>
              <w:right w:val="single" w:sz="4" w:color="D8E3D9"/>
              <w:insideH w:val="single" w:sz="4" w:color="D8E3D9"/>
              <w:insideV w:val="single" w:sz="4" w:color="D8E3D9"/>
            </w:tcBorders>
            <w:shd w:fill="FFFFFF"/>
            <w:tcMar>
              <w:top w:w="80" w:type="dxa"/>
              <w:bottom w:w="80" w:type="dxa"/>
              <w:start w:w="120" w:type="dxa"/>
              <w:end w:w="120" w:type="dxa"/>
            </w:tcMar>
          </w:tcPr>
          <w:p>
            <w:pPr>
              <w:spacing w:before="0" w:after="0" w:line="276" w:lineRule="auto"/>
              <w:jc w:val="left"/>
            </w:pPr>
            <w:r>
              <w:rPr>
                <w:rFonts w:ascii="Calibri" w:hAnsi="Calibri" w:eastAsia="Calibri"/>
                <w:b w:val="0"/>
                <w:color w:val="17251C"/>
                <w:sz w:val="18"/>
              </w:rPr>
              <w:t>Direction</w:t>
            </w:r>
          </w:p>
        </w:tc>
        <w:tc>
          <w:tcPr>
            <w:tcW w:type="dxa" w:w="1800"/>
            <w:vAlign w:val="center"/>
            <w:tcBorders>
              <w:top w:val="single" w:sz="4" w:color="D8E3D9"/>
              <w:left w:val="single" w:sz="4" w:color="D8E3D9"/>
              <w:bottom w:val="single" w:sz="4" w:color="D8E3D9"/>
              <w:right w:val="single" w:sz="4" w:color="D8E3D9"/>
              <w:insideH w:val="single" w:sz="4" w:color="D8E3D9"/>
              <w:insideV w:val="single" w:sz="4" w:color="D8E3D9"/>
            </w:tcBorders>
            <w:shd w:fill="FFFFFF"/>
            <w:tcMar>
              <w:top w:w="80" w:type="dxa"/>
              <w:bottom w:w="80" w:type="dxa"/>
              <w:start w:w="120" w:type="dxa"/>
              <w:end w:w="120" w:type="dxa"/>
            </w:tcMar>
          </w:tcPr>
          <w:p>
            <w:pPr>
              <w:spacing w:before="0" w:after="0" w:line="276" w:lineRule="auto"/>
              <w:jc w:val="left"/>
            </w:pPr>
            <w:r>
              <w:rPr>
                <w:rFonts w:ascii="Calibri" w:hAnsi="Calibri" w:eastAsia="Calibri"/>
                <w:b w:val="0"/>
                <w:color w:val="17251C"/>
                <w:sz w:val="18"/>
              </w:rPr>
              <w:t>½ journée</w:t>
            </w:r>
          </w:p>
        </w:tc>
        <w:tc>
          <w:tcPr>
            <w:tcW w:type="dxa" w:w="5260"/>
            <w:vAlign w:val="center"/>
            <w:tcBorders>
              <w:top w:val="single" w:sz="4" w:color="D8E3D9"/>
              <w:left w:val="single" w:sz="4" w:color="D8E3D9"/>
              <w:bottom w:val="single" w:sz="4" w:color="D8E3D9"/>
              <w:right w:val="single" w:sz="4" w:color="D8E3D9"/>
              <w:insideH w:val="single" w:sz="4" w:color="D8E3D9"/>
              <w:insideV w:val="single" w:sz="4" w:color="D8E3D9"/>
            </w:tcBorders>
            <w:shd w:fill="FFFFFF"/>
            <w:tcMar>
              <w:top w:w="80" w:type="dxa"/>
              <w:bottom w:w="80" w:type="dxa"/>
              <w:start w:w="120" w:type="dxa"/>
              <w:end w:w="120" w:type="dxa"/>
            </w:tcMar>
          </w:tcPr>
          <w:p>
            <w:pPr>
              <w:spacing w:before="0" w:after="0" w:line="276" w:lineRule="auto"/>
              <w:jc w:val="left"/>
            </w:pPr>
            <w:r>
              <w:rPr>
                <w:rFonts w:ascii="Calibri" w:hAnsi="Calibri" w:eastAsia="Calibri"/>
                <w:b w:val="0"/>
                <w:color w:val="17251C"/>
                <w:sz w:val="18"/>
              </w:rPr>
              <w:t>Tableaux de bord, alertes, analyse et exports</w:t>
            </w:r>
          </w:p>
        </w:tc>
      </w:tr>
    </w:tbl>
    <w:p>
      <w:pPr>
        <w:spacing w:after="40"/>
      </w:pPr>
    </w:p>
    <w:p>
      <w:pPr>
        <w:pStyle w:val="Heading2"/>
        <w:keepNext/>
      </w:pPr>
      <w:r>
        <w:t>7.3 Support</w:t>
      </w:r>
    </w:p>
    <w:p>
      <w:pPr>
        <w:spacing w:after="160" w:line="320" w:lineRule="auto"/>
        <w:jc w:val="both"/>
        <w:keepLines/>
      </w:pPr>
      <w:r>
        <w:rPr>
          <w:rFonts w:ascii="Calibri" w:hAnsi="Calibri" w:eastAsia="Calibri"/>
          <w:i w:val="0"/>
          <w:color w:val="17251C"/>
          <w:sz w:val="22"/>
        </w:rPr>
        <w:t>Quatre semaines d’hypercare sont incluses après la mise en production. Cette période couvre la stabilisation, l’accompagnement des utilisateurs, la correction des anomalies et le suivi rapproché des opérations critiques.</w:t>
      </w:r>
    </w:p>
    <w:p>
      <w:pPr>
        <w:pStyle w:val="Heading1"/>
        <w:keepNext/>
      </w:pPr>
      <w:r>
        <w:t>8. Offre financière</w:t>
      </w:r>
    </w:p>
    <w:p>
      <w:pPr>
        <w:spacing w:after="240" w:line="300" w:lineRule="auto"/>
        <w:keepLines/>
      </w:pPr>
      <w:r>
        <w:rPr>
          <w:rFonts w:ascii="Calibri" w:hAnsi="Calibri" w:eastAsia="Calibri"/>
          <w:i/>
          <w:color w:val="526159"/>
          <w:sz w:val="24"/>
        </w:rPr>
        <w:t>Les montants sont exprimés en francs CFA hors taxes. Le prix définitif sera confirmé après l’atelier de cadrage et la validation du périmètre contractuel.</w:t>
      </w:r>
    </w:p>
    <w:tbl>
      <w:tblPr>
        <w:tblW w:type="dxa" w:w="9360"/>
        <w:jc w:val="left"/>
        <w:tblLayout w:type="fixed"/>
        <w:tblLook w:firstColumn="1" w:firstRow="1" w:lastColumn="0" w:lastRow="0" w:noHBand="0" w:noVBand="1" w:val="04A0"/>
        <w:tblInd w:type="dxa" w:w="120"/>
      </w:tblPr>
      <w:tblGrid>
        <w:gridCol w:w="7440"/>
        <w:gridCol w:w="1920"/>
      </w:tblGrid>
      <w:tr>
        <w:trPr>
          <w:tblHeader w:val="true"/>
        </w:trPr>
        <w:tc>
          <w:tcPr>
            <w:tcW w:type="dxa" w:w="7440"/>
            <w:vAlign w:val="center"/>
            <w:tcBorders>
              <w:top w:val="single" w:sz="4" w:color="D8E3D9"/>
              <w:left w:val="single" w:sz="4" w:color="D8E3D9"/>
              <w:bottom w:val="single" w:sz="4" w:color="D8E3D9"/>
              <w:right w:val="single" w:sz="4" w:color="D8E3D9"/>
              <w:insideH w:val="single" w:sz="4" w:color="D8E3D9"/>
              <w:insideV w:val="single" w:sz="4" w:color="D8E3D9"/>
            </w:tcBorders>
            <w:shd w:fill="234E2B"/>
            <w:tcMar>
              <w:top w:w="80" w:type="dxa"/>
              <w:bottom w:w="80" w:type="dxa"/>
              <w:start w:w="120" w:type="dxa"/>
              <w:end w:w="120" w:type="dxa"/>
            </w:tcMar>
          </w:tcPr>
          <w:p>
            <w:pPr>
              <w:spacing w:before="0" w:after="0" w:line="276" w:lineRule="auto"/>
              <w:jc w:val="left"/>
            </w:pPr>
            <w:r>
              <w:rPr>
                <w:rFonts w:ascii="Calibri" w:hAnsi="Calibri" w:eastAsia="Calibri"/>
                <w:b/>
                <w:color w:val="FFFFFF"/>
                <w:sz w:val="18"/>
              </w:rPr>
              <w:t>Poste</w:t>
            </w:r>
          </w:p>
        </w:tc>
        <w:tc>
          <w:tcPr>
            <w:tcW w:type="dxa" w:w="1920"/>
            <w:vAlign w:val="center"/>
            <w:tcBorders>
              <w:top w:val="single" w:sz="4" w:color="D8E3D9"/>
              <w:left w:val="single" w:sz="4" w:color="D8E3D9"/>
              <w:bottom w:val="single" w:sz="4" w:color="D8E3D9"/>
              <w:right w:val="single" w:sz="4" w:color="D8E3D9"/>
              <w:insideH w:val="single" w:sz="4" w:color="D8E3D9"/>
              <w:insideV w:val="single" w:sz="4" w:color="D8E3D9"/>
            </w:tcBorders>
            <w:shd w:fill="234E2B"/>
            <w:tcMar>
              <w:top w:w="80" w:type="dxa"/>
              <w:bottom w:w="80" w:type="dxa"/>
              <w:start w:w="120" w:type="dxa"/>
              <w:end w:w="120" w:type="dxa"/>
            </w:tcMar>
          </w:tcPr>
          <w:p>
            <w:pPr>
              <w:spacing w:before="0" w:after="0" w:line="276" w:lineRule="auto"/>
              <w:jc w:val="right"/>
            </w:pPr>
            <w:r>
              <w:rPr>
                <w:rFonts w:ascii="Calibri" w:hAnsi="Calibri" w:eastAsia="Calibri"/>
                <w:b/>
                <w:color w:val="E9D928"/>
                <w:sz w:val="18"/>
              </w:rPr>
              <w:t>Montant HT</w:t>
            </w:r>
          </w:p>
        </w:tc>
      </w:tr>
      <w:tr>
        <w:trPr/>
        <w:tc>
          <w:tcPr>
            <w:tcW w:type="dxa" w:w="7440"/>
            <w:vAlign w:val="center"/>
            <w:tcBorders>
              <w:top w:val="single" w:sz="4" w:color="D8E3D9"/>
              <w:left w:val="single" w:sz="4" w:color="D8E3D9"/>
              <w:bottom w:val="single" w:sz="4" w:color="D8E3D9"/>
              <w:right w:val="single" w:sz="4" w:color="D8E3D9"/>
              <w:insideH w:val="single" w:sz="4" w:color="D8E3D9"/>
              <w:insideV w:val="single" w:sz="4" w:color="D8E3D9"/>
            </w:tcBorders>
            <w:shd w:fill="F3F7F3"/>
            <w:tcMar>
              <w:top w:w="80" w:type="dxa"/>
              <w:bottom w:w="80" w:type="dxa"/>
              <w:start w:w="120" w:type="dxa"/>
              <w:end w:w="120" w:type="dxa"/>
            </w:tcMar>
          </w:tcPr>
          <w:p>
            <w:pPr>
              <w:spacing w:before="0" w:after="0" w:line="276" w:lineRule="auto"/>
              <w:jc w:val="left"/>
            </w:pPr>
            <w:r>
              <w:rPr>
                <w:rFonts w:ascii="Calibri" w:hAnsi="Calibri" w:eastAsia="Calibri"/>
                <w:b w:val="0"/>
                <w:color w:val="17251C"/>
                <w:sz w:val="18"/>
              </w:rPr>
              <w:t>Cadrage, cartographie des processus et blueprint</w:t>
            </w:r>
          </w:p>
        </w:tc>
        <w:tc>
          <w:tcPr>
            <w:tcW w:type="dxa" w:w="1920"/>
            <w:vAlign w:val="center"/>
            <w:tcBorders>
              <w:top w:val="single" w:sz="4" w:color="D8E3D9"/>
              <w:left w:val="single" w:sz="4" w:color="D8E3D9"/>
              <w:bottom w:val="single" w:sz="4" w:color="D8E3D9"/>
              <w:right w:val="single" w:sz="4" w:color="D8E3D9"/>
              <w:insideH w:val="single" w:sz="4" w:color="D8E3D9"/>
              <w:insideV w:val="single" w:sz="4" w:color="D8E3D9"/>
            </w:tcBorders>
            <w:shd w:fill="F3F7F3"/>
            <w:tcMar>
              <w:top w:w="80" w:type="dxa"/>
              <w:bottom w:w="80" w:type="dxa"/>
              <w:start w:w="120" w:type="dxa"/>
              <w:end w:w="120" w:type="dxa"/>
            </w:tcMar>
          </w:tcPr>
          <w:p>
            <w:pPr>
              <w:spacing w:before="0" w:after="0" w:line="276" w:lineRule="auto"/>
              <w:jc w:val="right"/>
            </w:pPr>
            <w:r>
              <w:rPr>
                <w:rFonts w:ascii="Calibri" w:hAnsi="Calibri" w:eastAsia="Calibri"/>
                <w:b/>
                <w:color w:val="234E2B"/>
                <w:sz w:val="18"/>
              </w:rPr>
              <w:t>2 250 000</w:t>
            </w:r>
          </w:p>
        </w:tc>
      </w:tr>
      <w:tr>
        <w:trPr/>
        <w:tc>
          <w:tcPr>
            <w:tcW w:type="dxa" w:w="7440"/>
            <w:vAlign w:val="center"/>
            <w:tcBorders>
              <w:top w:val="single" w:sz="4" w:color="D8E3D9"/>
              <w:left w:val="single" w:sz="4" w:color="D8E3D9"/>
              <w:bottom w:val="single" w:sz="4" w:color="D8E3D9"/>
              <w:right w:val="single" w:sz="4" w:color="D8E3D9"/>
              <w:insideH w:val="single" w:sz="4" w:color="D8E3D9"/>
              <w:insideV w:val="single" w:sz="4" w:color="D8E3D9"/>
            </w:tcBorders>
            <w:shd w:fill="FFFFFF"/>
            <w:tcMar>
              <w:top w:w="80" w:type="dxa"/>
              <w:bottom w:w="80" w:type="dxa"/>
              <w:start w:w="120" w:type="dxa"/>
              <w:end w:w="120" w:type="dxa"/>
            </w:tcMar>
          </w:tcPr>
          <w:p>
            <w:pPr>
              <w:spacing w:before="0" w:after="0" w:line="276" w:lineRule="auto"/>
              <w:jc w:val="left"/>
            </w:pPr>
            <w:r>
              <w:rPr>
                <w:rFonts w:ascii="Calibri" w:hAnsi="Calibri" w:eastAsia="Calibri"/>
                <w:b w:val="0"/>
                <w:color w:val="17251C"/>
                <w:sz w:val="18"/>
              </w:rPr>
              <w:t>UX/UI, prototype et architecture technique</w:t>
            </w:r>
          </w:p>
        </w:tc>
        <w:tc>
          <w:tcPr>
            <w:tcW w:type="dxa" w:w="1920"/>
            <w:vAlign w:val="center"/>
            <w:tcBorders>
              <w:top w:val="single" w:sz="4" w:color="D8E3D9"/>
              <w:left w:val="single" w:sz="4" w:color="D8E3D9"/>
              <w:bottom w:val="single" w:sz="4" w:color="D8E3D9"/>
              <w:right w:val="single" w:sz="4" w:color="D8E3D9"/>
              <w:insideH w:val="single" w:sz="4" w:color="D8E3D9"/>
              <w:insideV w:val="single" w:sz="4" w:color="D8E3D9"/>
            </w:tcBorders>
            <w:shd w:fill="FFFFFF"/>
            <w:tcMar>
              <w:top w:w="80" w:type="dxa"/>
              <w:bottom w:w="80" w:type="dxa"/>
              <w:start w:w="120" w:type="dxa"/>
              <w:end w:w="120" w:type="dxa"/>
            </w:tcMar>
          </w:tcPr>
          <w:p>
            <w:pPr>
              <w:spacing w:before="0" w:after="0" w:line="276" w:lineRule="auto"/>
              <w:jc w:val="right"/>
            </w:pPr>
            <w:r>
              <w:rPr>
                <w:rFonts w:ascii="Calibri" w:hAnsi="Calibri" w:eastAsia="Calibri"/>
                <w:b/>
                <w:color w:val="234E2B"/>
                <w:sz w:val="18"/>
              </w:rPr>
              <w:t>2 500 000</w:t>
            </w:r>
          </w:p>
        </w:tc>
      </w:tr>
      <w:tr>
        <w:trPr/>
        <w:tc>
          <w:tcPr>
            <w:tcW w:type="dxa" w:w="7440"/>
            <w:vAlign w:val="center"/>
            <w:tcBorders>
              <w:top w:val="single" w:sz="4" w:color="D8E3D9"/>
              <w:left w:val="single" w:sz="4" w:color="D8E3D9"/>
              <w:bottom w:val="single" w:sz="4" w:color="D8E3D9"/>
              <w:right w:val="single" w:sz="4" w:color="D8E3D9"/>
              <w:insideH w:val="single" w:sz="4" w:color="D8E3D9"/>
              <w:insideV w:val="single" w:sz="4" w:color="D8E3D9"/>
            </w:tcBorders>
            <w:shd w:fill="F3F7F3"/>
            <w:tcMar>
              <w:top w:w="80" w:type="dxa"/>
              <w:bottom w:w="80" w:type="dxa"/>
              <w:start w:w="120" w:type="dxa"/>
              <w:end w:w="120" w:type="dxa"/>
            </w:tcMar>
          </w:tcPr>
          <w:p>
            <w:pPr>
              <w:spacing w:before="0" w:after="0" w:line="276" w:lineRule="auto"/>
              <w:jc w:val="left"/>
            </w:pPr>
            <w:r>
              <w:rPr>
                <w:rFonts w:ascii="Calibri" w:hAnsi="Calibri" w:eastAsia="Calibri"/>
                <w:b w:val="0"/>
                <w:color w:val="17251C"/>
                <w:sz w:val="18"/>
              </w:rPr>
              <w:t>Socle ERP : CRM, ventes, achats, stocks, finance, RH et documents</w:t>
            </w:r>
          </w:p>
        </w:tc>
        <w:tc>
          <w:tcPr>
            <w:tcW w:type="dxa" w:w="1920"/>
            <w:vAlign w:val="center"/>
            <w:tcBorders>
              <w:top w:val="single" w:sz="4" w:color="D8E3D9"/>
              <w:left w:val="single" w:sz="4" w:color="D8E3D9"/>
              <w:bottom w:val="single" w:sz="4" w:color="D8E3D9"/>
              <w:right w:val="single" w:sz="4" w:color="D8E3D9"/>
              <w:insideH w:val="single" w:sz="4" w:color="D8E3D9"/>
              <w:insideV w:val="single" w:sz="4" w:color="D8E3D9"/>
            </w:tcBorders>
            <w:shd w:fill="F3F7F3"/>
            <w:tcMar>
              <w:top w:w="80" w:type="dxa"/>
              <w:bottom w:w="80" w:type="dxa"/>
              <w:start w:w="120" w:type="dxa"/>
              <w:end w:w="120" w:type="dxa"/>
            </w:tcMar>
          </w:tcPr>
          <w:p>
            <w:pPr>
              <w:spacing w:before="0" w:after="0" w:line="276" w:lineRule="auto"/>
              <w:jc w:val="right"/>
            </w:pPr>
            <w:r>
              <w:rPr>
                <w:rFonts w:ascii="Calibri" w:hAnsi="Calibri" w:eastAsia="Calibri"/>
                <w:b/>
                <w:color w:val="234E2B"/>
                <w:sz w:val="18"/>
              </w:rPr>
              <w:t>9 800 000</w:t>
            </w:r>
          </w:p>
        </w:tc>
      </w:tr>
      <w:tr>
        <w:trPr/>
        <w:tc>
          <w:tcPr>
            <w:tcW w:type="dxa" w:w="7440"/>
            <w:vAlign w:val="center"/>
            <w:tcBorders>
              <w:top w:val="single" w:sz="4" w:color="D8E3D9"/>
              <w:left w:val="single" w:sz="4" w:color="D8E3D9"/>
              <w:bottom w:val="single" w:sz="4" w:color="D8E3D9"/>
              <w:right w:val="single" w:sz="4" w:color="D8E3D9"/>
              <w:insideH w:val="single" w:sz="4" w:color="D8E3D9"/>
              <w:insideV w:val="single" w:sz="4" w:color="D8E3D9"/>
            </w:tcBorders>
            <w:shd w:fill="FFFFFF"/>
            <w:tcMar>
              <w:top w:w="80" w:type="dxa"/>
              <w:bottom w:w="80" w:type="dxa"/>
              <w:start w:w="120" w:type="dxa"/>
              <w:end w:w="120" w:type="dxa"/>
            </w:tcMar>
          </w:tcPr>
          <w:p>
            <w:pPr>
              <w:spacing w:before="0" w:after="0" w:line="276" w:lineRule="auto"/>
              <w:jc w:val="left"/>
            </w:pPr>
            <w:r>
              <w:rPr>
                <w:rFonts w:ascii="Calibri" w:hAnsi="Calibri" w:eastAsia="Calibri"/>
                <w:b w:val="0"/>
                <w:color w:val="17251C"/>
                <w:sz w:val="18"/>
              </w:rPr>
              <w:t>Module BTP et gestion de projets / chantiers</w:t>
            </w:r>
          </w:p>
        </w:tc>
        <w:tc>
          <w:tcPr>
            <w:tcW w:type="dxa" w:w="1920"/>
            <w:vAlign w:val="center"/>
            <w:tcBorders>
              <w:top w:val="single" w:sz="4" w:color="D8E3D9"/>
              <w:left w:val="single" w:sz="4" w:color="D8E3D9"/>
              <w:bottom w:val="single" w:sz="4" w:color="D8E3D9"/>
              <w:right w:val="single" w:sz="4" w:color="D8E3D9"/>
              <w:insideH w:val="single" w:sz="4" w:color="D8E3D9"/>
              <w:insideV w:val="single" w:sz="4" w:color="D8E3D9"/>
            </w:tcBorders>
            <w:shd w:fill="FFFFFF"/>
            <w:tcMar>
              <w:top w:w="80" w:type="dxa"/>
              <w:bottom w:w="80" w:type="dxa"/>
              <w:start w:w="120" w:type="dxa"/>
              <w:end w:w="120" w:type="dxa"/>
            </w:tcMar>
          </w:tcPr>
          <w:p>
            <w:pPr>
              <w:spacing w:before="0" w:after="0" w:line="276" w:lineRule="auto"/>
              <w:jc w:val="right"/>
            </w:pPr>
            <w:r>
              <w:rPr>
                <w:rFonts w:ascii="Calibri" w:hAnsi="Calibri" w:eastAsia="Calibri"/>
                <w:b/>
                <w:color w:val="234E2B"/>
                <w:sz w:val="18"/>
              </w:rPr>
              <w:t>4 600 000</w:t>
            </w:r>
          </w:p>
        </w:tc>
      </w:tr>
      <w:tr>
        <w:trPr/>
        <w:tc>
          <w:tcPr>
            <w:tcW w:type="dxa" w:w="7440"/>
            <w:vAlign w:val="center"/>
            <w:tcBorders>
              <w:top w:val="single" w:sz="4" w:color="D8E3D9"/>
              <w:left w:val="single" w:sz="4" w:color="D8E3D9"/>
              <w:bottom w:val="single" w:sz="4" w:color="D8E3D9"/>
              <w:right w:val="single" w:sz="4" w:color="D8E3D9"/>
              <w:insideH w:val="single" w:sz="4" w:color="D8E3D9"/>
              <w:insideV w:val="single" w:sz="4" w:color="D8E3D9"/>
            </w:tcBorders>
            <w:shd w:fill="F3F7F3"/>
            <w:tcMar>
              <w:top w:w="80" w:type="dxa"/>
              <w:bottom w:w="80" w:type="dxa"/>
              <w:start w:w="120" w:type="dxa"/>
              <w:end w:w="120" w:type="dxa"/>
            </w:tcMar>
          </w:tcPr>
          <w:p>
            <w:pPr>
              <w:spacing w:before="0" w:after="0" w:line="276" w:lineRule="auto"/>
              <w:jc w:val="left"/>
            </w:pPr>
            <w:r>
              <w:rPr>
                <w:rFonts w:ascii="Calibri" w:hAnsi="Calibri" w:eastAsia="Calibri"/>
                <w:b w:val="0"/>
                <w:color w:val="17251C"/>
                <w:sz w:val="18"/>
              </w:rPr>
              <w:t>Module transport, logistique et flotte</w:t>
            </w:r>
          </w:p>
        </w:tc>
        <w:tc>
          <w:tcPr>
            <w:tcW w:type="dxa" w:w="1920"/>
            <w:vAlign w:val="center"/>
            <w:tcBorders>
              <w:top w:val="single" w:sz="4" w:color="D8E3D9"/>
              <w:left w:val="single" w:sz="4" w:color="D8E3D9"/>
              <w:bottom w:val="single" w:sz="4" w:color="D8E3D9"/>
              <w:right w:val="single" w:sz="4" w:color="D8E3D9"/>
              <w:insideH w:val="single" w:sz="4" w:color="D8E3D9"/>
              <w:insideV w:val="single" w:sz="4" w:color="D8E3D9"/>
            </w:tcBorders>
            <w:shd w:fill="F3F7F3"/>
            <w:tcMar>
              <w:top w:w="80" w:type="dxa"/>
              <w:bottom w:w="80" w:type="dxa"/>
              <w:start w:w="120" w:type="dxa"/>
              <w:end w:w="120" w:type="dxa"/>
            </w:tcMar>
          </w:tcPr>
          <w:p>
            <w:pPr>
              <w:spacing w:before="0" w:after="0" w:line="276" w:lineRule="auto"/>
              <w:jc w:val="right"/>
            </w:pPr>
            <w:r>
              <w:rPr>
                <w:rFonts w:ascii="Calibri" w:hAnsi="Calibri" w:eastAsia="Calibri"/>
                <w:b/>
                <w:color w:val="234E2B"/>
                <w:sz w:val="18"/>
              </w:rPr>
              <w:t>3 200 000</w:t>
            </w:r>
          </w:p>
        </w:tc>
      </w:tr>
      <w:tr>
        <w:trPr/>
        <w:tc>
          <w:tcPr>
            <w:tcW w:type="dxa" w:w="7440"/>
            <w:vAlign w:val="center"/>
            <w:tcBorders>
              <w:top w:val="single" w:sz="4" w:color="D8E3D9"/>
              <w:left w:val="single" w:sz="4" w:color="D8E3D9"/>
              <w:bottom w:val="single" w:sz="4" w:color="D8E3D9"/>
              <w:right w:val="single" w:sz="4" w:color="D8E3D9"/>
              <w:insideH w:val="single" w:sz="4" w:color="D8E3D9"/>
              <w:insideV w:val="single" w:sz="4" w:color="D8E3D9"/>
            </w:tcBorders>
            <w:shd w:fill="FFFFFF"/>
            <w:tcMar>
              <w:top w:w="80" w:type="dxa"/>
              <w:bottom w:w="80" w:type="dxa"/>
              <w:start w:w="120" w:type="dxa"/>
              <w:end w:w="120" w:type="dxa"/>
            </w:tcMar>
          </w:tcPr>
          <w:p>
            <w:pPr>
              <w:spacing w:before="0" w:after="0" w:line="276" w:lineRule="auto"/>
              <w:jc w:val="left"/>
            </w:pPr>
            <w:r>
              <w:rPr>
                <w:rFonts w:ascii="Calibri" w:hAnsi="Calibri" w:eastAsia="Calibri"/>
                <w:b w:val="0"/>
                <w:color w:val="17251C"/>
                <w:sz w:val="18"/>
              </w:rPr>
              <w:t>Module restaurant : POS, cuisine, recettes et stock</w:t>
            </w:r>
          </w:p>
        </w:tc>
        <w:tc>
          <w:tcPr>
            <w:tcW w:type="dxa" w:w="1920"/>
            <w:vAlign w:val="center"/>
            <w:tcBorders>
              <w:top w:val="single" w:sz="4" w:color="D8E3D9"/>
              <w:left w:val="single" w:sz="4" w:color="D8E3D9"/>
              <w:bottom w:val="single" w:sz="4" w:color="D8E3D9"/>
              <w:right w:val="single" w:sz="4" w:color="D8E3D9"/>
              <w:insideH w:val="single" w:sz="4" w:color="D8E3D9"/>
              <w:insideV w:val="single" w:sz="4" w:color="D8E3D9"/>
            </w:tcBorders>
            <w:shd w:fill="FFFFFF"/>
            <w:tcMar>
              <w:top w:w="80" w:type="dxa"/>
              <w:bottom w:w="80" w:type="dxa"/>
              <w:start w:w="120" w:type="dxa"/>
              <w:end w:w="120" w:type="dxa"/>
            </w:tcMar>
          </w:tcPr>
          <w:p>
            <w:pPr>
              <w:spacing w:before="0" w:after="0" w:line="276" w:lineRule="auto"/>
              <w:jc w:val="right"/>
            </w:pPr>
            <w:r>
              <w:rPr>
                <w:rFonts w:ascii="Calibri" w:hAnsi="Calibri" w:eastAsia="Calibri"/>
                <w:b/>
                <w:color w:val="234E2B"/>
                <w:sz w:val="18"/>
              </w:rPr>
              <w:t>3 300 000</w:t>
            </w:r>
          </w:p>
        </w:tc>
      </w:tr>
      <w:tr>
        <w:trPr/>
        <w:tc>
          <w:tcPr>
            <w:tcW w:type="dxa" w:w="7440"/>
            <w:vAlign w:val="center"/>
            <w:tcBorders>
              <w:top w:val="single" w:sz="4" w:color="D8E3D9"/>
              <w:left w:val="single" w:sz="4" w:color="D8E3D9"/>
              <w:bottom w:val="single" w:sz="4" w:color="D8E3D9"/>
              <w:right w:val="single" w:sz="4" w:color="D8E3D9"/>
              <w:insideH w:val="single" w:sz="4" w:color="D8E3D9"/>
              <w:insideV w:val="single" w:sz="4" w:color="D8E3D9"/>
            </w:tcBorders>
            <w:shd w:fill="F3F7F3"/>
            <w:tcMar>
              <w:top w:w="80" w:type="dxa"/>
              <w:bottom w:w="80" w:type="dxa"/>
              <w:start w:w="120" w:type="dxa"/>
              <w:end w:w="120" w:type="dxa"/>
            </w:tcMar>
          </w:tcPr>
          <w:p>
            <w:pPr>
              <w:spacing w:before="0" w:after="0" w:line="276" w:lineRule="auto"/>
              <w:jc w:val="left"/>
            </w:pPr>
            <w:r>
              <w:rPr>
                <w:rFonts w:ascii="Calibri" w:hAnsi="Calibri" w:eastAsia="Calibri"/>
                <w:b w:val="0"/>
                <w:color w:val="17251C"/>
                <w:sz w:val="18"/>
              </w:rPr>
              <w:t>Modules salles, traiteur et résidences</w:t>
            </w:r>
          </w:p>
        </w:tc>
        <w:tc>
          <w:tcPr>
            <w:tcW w:type="dxa" w:w="1920"/>
            <w:vAlign w:val="center"/>
            <w:tcBorders>
              <w:top w:val="single" w:sz="4" w:color="D8E3D9"/>
              <w:left w:val="single" w:sz="4" w:color="D8E3D9"/>
              <w:bottom w:val="single" w:sz="4" w:color="D8E3D9"/>
              <w:right w:val="single" w:sz="4" w:color="D8E3D9"/>
              <w:insideH w:val="single" w:sz="4" w:color="D8E3D9"/>
              <w:insideV w:val="single" w:sz="4" w:color="D8E3D9"/>
            </w:tcBorders>
            <w:shd w:fill="F3F7F3"/>
            <w:tcMar>
              <w:top w:w="80" w:type="dxa"/>
              <w:bottom w:w="80" w:type="dxa"/>
              <w:start w:w="120" w:type="dxa"/>
              <w:end w:w="120" w:type="dxa"/>
            </w:tcMar>
          </w:tcPr>
          <w:p>
            <w:pPr>
              <w:spacing w:before="0" w:after="0" w:line="276" w:lineRule="auto"/>
              <w:jc w:val="right"/>
            </w:pPr>
            <w:r>
              <w:rPr>
                <w:rFonts w:ascii="Calibri" w:hAnsi="Calibri" w:eastAsia="Calibri"/>
                <w:b/>
                <w:color w:val="234E2B"/>
                <w:sz w:val="18"/>
              </w:rPr>
              <w:t>2 600 000</w:t>
            </w:r>
          </w:p>
        </w:tc>
      </w:tr>
      <w:tr>
        <w:trPr/>
        <w:tc>
          <w:tcPr>
            <w:tcW w:type="dxa" w:w="7440"/>
            <w:vAlign w:val="center"/>
            <w:tcBorders>
              <w:top w:val="single" w:sz="4" w:color="D8E3D9"/>
              <w:left w:val="single" w:sz="4" w:color="D8E3D9"/>
              <w:bottom w:val="single" w:sz="4" w:color="D8E3D9"/>
              <w:right w:val="single" w:sz="4" w:color="D8E3D9"/>
              <w:insideH w:val="single" w:sz="4" w:color="D8E3D9"/>
              <w:insideV w:val="single" w:sz="4" w:color="D8E3D9"/>
            </w:tcBorders>
            <w:shd w:fill="FFFFFF"/>
            <w:tcMar>
              <w:top w:w="80" w:type="dxa"/>
              <w:bottom w:w="80" w:type="dxa"/>
              <w:start w:w="120" w:type="dxa"/>
              <w:end w:w="120" w:type="dxa"/>
            </w:tcMar>
          </w:tcPr>
          <w:p>
            <w:pPr>
              <w:spacing w:before="0" w:after="0" w:line="276" w:lineRule="auto"/>
              <w:jc w:val="left"/>
            </w:pPr>
            <w:r>
              <w:rPr>
                <w:rFonts w:ascii="Calibri" w:hAnsi="Calibri" w:eastAsia="Calibri"/>
                <w:b w:val="0"/>
                <w:color w:val="17251C"/>
                <w:sz w:val="18"/>
              </w:rPr>
              <w:t>Module lavage automobile</w:t>
            </w:r>
          </w:p>
        </w:tc>
        <w:tc>
          <w:tcPr>
            <w:tcW w:type="dxa" w:w="1920"/>
            <w:vAlign w:val="center"/>
            <w:tcBorders>
              <w:top w:val="single" w:sz="4" w:color="D8E3D9"/>
              <w:left w:val="single" w:sz="4" w:color="D8E3D9"/>
              <w:bottom w:val="single" w:sz="4" w:color="D8E3D9"/>
              <w:right w:val="single" w:sz="4" w:color="D8E3D9"/>
              <w:insideH w:val="single" w:sz="4" w:color="D8E3D9"/>
              <w:insideV w:val="single" w:sz="4" w:color="D8E3D9"/>
            </w:tcBorders>
            <w:shd w:fill="FFFFFF"/>
            <w:tcMar>
              <w:top w:w="80" w:type="dxa"/>
              <w:bottom w:w="80" w:type="dxa"/>
              <w:start w:w="120" w:type="dxa"/>
              <w:end w:w="120" w:type="dxa"/>
            </w:tcMar>
          </w:tcPr>
          <w:p>
            <w:pPr>
              <w:spacing w:before="0" w:after="0" w:line="276" w:lineRule="auto"/>
              <w:jc w:val="right"/>
            </w:pPr>
            <w:r>
              <w:rPr>
                <w:rFonts w:ascii="Calibri" w:hAnsi="Calibri" w:eastAsia="Calibri"/>
                <w:b/>
                <w:color w:val="234E2B"/>
                <w:sz w:val="18"/>
              </w:rPr>
              <w:t>1 900 000</w:t>
            </w:r>
          </w:p>
        </w:tc>
      </w:tr>
      <w:tr>
        <w:trPr/>
        <w:tc>
          <w:tcPr>
            <w:tcW w:type="dxa" w:w="7440"/>
            <w:vAlign w:val="center"/>
            <w:tcBorders>
              <w:top w:val="single" w:sz="4" w:color="D8E3D9"/>
              <w:left w:val="single" w:sz="4" w:color="D8E3D9"/>
              <w:bottom w:val="single" w:sz="4" w:color="D8E3D9"/>
              <w:right w:val="single" w:sz="4" w:color="D8E3D9"/>
              <w:insideH w:val="single" w:sz="4" w:color="D8E3D9"/>
              <w:insideV w:val="single" w:sz="4" w:color="D8E3D9"/>
            </w:tcBorders>
            <w:shd w:fill="F3F7F3"/>
            <w:tcMar>
              <w:top w:w="80" w:type="dxa"/>
              <w:bottom w:w="80" w:type="dxa"/>
              <w:start w:w="120" w:type="dxa"/>
              <w:end w:w="120" w:type="dxa"/>
            </w:tcMar>
          </w:tcPr>
          <w:p>
            <w:pPr>
              <w:spacing w:before="0" w:after="0" w:line="276" w:lineRule="auto"/>
              <w:jc w:val="left"/>
            </w:pPr>
            <w:r>
              <w:rPr>
                <w:rFonts w:ascii="Calibri" w:hAnsi="Calibri" w:eastAsia="Calibri"/>
                <w:b w:val="0"/>
                <w:color w:val="17251C"/>
                <w:sz w:val="18"/>
              </w:rPr>
              <w:t>Reporting, portail et expérience mobile PWA</w:t>
            </w:r>
          </w:p>
        </w:tc>
        <w:tc>
          <w:tcPr>
            <w:tcW w:type="dxa" w:w="1920"/>
            <w:vAlign w:val="center"/>
            <w:tcBorders>
              <w:top w:val="single" w:sz="4" w:color="D8E3D9"/>
              <w:left w:val="single" w:sz="4" w:color="D8E3D9"/>
              <w:bottom w:val="single" w:sz="4" w:color="D8E3D9"/>
              <w:right w:val="single" w:sz="4" w:color="D8E3D9"/>
              <w:insideH w:val="single" w:sz="4" w:color="D8E3D9"/>
              <w:insideV w:val="single" w:sz="4" w:color="D8E3D9"/>
            </w:tcBorders>
            <w:shd w:fill="F3F7F3"/>
            <w:tcMar>
              <w:top w:w="80" w:type="dxa"/>
              <w:bottom w:w="80" w:type="dxa"/>
              <w:start w:w="120" w:type="dxa"/>
              <w:end w:w="120" w:type="dxa"/>
            </w:tcMar>
          </w:tcPr>
          <w:p>
            <w:pPr>
              <w:spacing w:before="0" w:after="0" w:line="276" w:lineRule="auto"/>
              <w:jc w:val="right"/>
            </w:pPr>
            <w:r>
              <w:rPr>
                <w:rFonts w:ascii="Calibri" w:hAnsi="Calibri" w:eastAsia="Calibri"/>
                <w:b/>
                <w:color w:val="234E2B"/>
                <w:sz w:val="18"/>
              </w:rPr>
              <w:t>2 100 000</w:t>
            </w:r>
          </w:p>
        </w:tc>
      </w:tr>
      <w:tr>
        <w:trPr/>
        <w:tc>
          <w:tcPr>
            <w:tcW w:type="dxa" w:w="7440"/>
            <w:vAlign w:val="center"/>
            <w:tcBorders>
              <w:top w:val="single" w:sz="4" w:color="D8E3D9"/>
              <w:left w:val="single" w:sz="4" w:color="D8E3D9"/>
              <w:bottom w:val="single" w:sz="4" w:color="D8E3D9"/>
              <w:right w:val="single" w:sz="4" w:color="D8E3D9"/>
              <w:insideH w:val="single" w:sz="4" w:color="D8E3D9"/>
              <w:insideV w:val="single" w:sz="4" w:color="D8E3D9"/>
            </w:tcBorders>
            <w:shd w:fill="FFFFFF"/>
            <w:tcMar>
              <w:top w:w="80" w:type="dxa"/>
              <w:bottom w:w="80" w:type="dxa"/>
              <w:start w:w="120" w:type="dxa"/>
              <w:end w:w="120" w:type="dxa"/>
            </w:tcMar>
          </w:tcPr>
          <w:p>
            <w:pPr>
              <w:spacing w:before="0" w:after="0" w:line="276" w:lineRule="auto"/>
              <w:jc w:val="left"/>
            </w:pPr>
            <w:r>
              <w:rPr>
                <w:rFonts w:ascii="Calibri" w:hAnsi="Calibri" w:eastAsia="Calibri"/>
                <w:b w:val="0"/>
                <w:color w:val="17251C"/>
                <w:sz w:val="18"/>
              </w:rPr>
              <w:t>Migration, paramétrage et intégrations standards</w:t>
            </w:r>
          </w:p>
        </w:tc>
        <w:tc>
          <w:tcPr>
            <w:tcW w:type="dxa" w:w="1920"/>
            <w:vAlign w:val="center"/>
            <w:tcBorders>
              <w:top w:val="single" w:sz="4" w:color="D8E3D9"/>
              <w:left w:val="single" w:sz="4" w:color="D8E3D9"/>
              <w:bottom w:val="single" w:sz="4" w:color="D8E3D9"/>
              <w:right w:val="single" w:sz="4" w:color="D8E3D9"/>
              <w:insideH w:val="single" w:sz="4" w:color="D8E3D9"/>
              <w:insideV w:val="single" w:sz="4" w:color="D8E3D9"/>
            </w:tcBorders>
            <w:shd w:fill="FFFFFF"/>
            <w:tcMar>
              <w:top w:w="80" w:type="dxa"/>
              <w:bottom w:w="80" w:type="dxa"/>
              <w:start w:w="120" w:type="dxa"/>
              <w:end w:w="120" w:type="dxa"/>
            </w:tcMar>
          </w:tcPr>
          <w:p>
            <w:pPr>
              <w:spacing w:before="0" w:after="0" w:line="276" w:lineRule="auto"/>
              <w:jc w:val="right"/>
            </w:pPr>
            <w:r>
              <w:rPr>
                <w:rFonts w:ascii="Calibri" w:hAnsi="Calibri" w:eastAsia="Calibri"/>
                <w:b/>
                <w:color w:val="234E2B"/>
                <w:sz w:val="18"/>
              </w:rPr>
              <w:t>2 400 000</w:t>
            </w:r>
          </w:p>
        </w:tc>
      </w:tr>
      <w:tr>
        <w:trPr/>
        <w:tc>
          <w:tcPr>
            <w:tcW w:type="dxa" w:w="7440"/>
            <w:vAlign w:val="center"/>
            <w:tcBorders>
              <w:top w:val="single" w:sz="4" w:color="D8E3D9"/>
              <w:left w:val="single" w:sz="4" w:color="D8E3D9"/>
              <w:bottom w:val="single" w:sz="4" w:color="D8E3D9"/>
              <w:right w:val="single" w:sz="4" w:color="D8E3D9"/>
              <w:insideH w:val="single" w:sz="4" w:color="D8E3D9"/>
              <w:insideV w:val="single" w:sz="4" w:color="D8E3D9"/>
            </w:tcBorders>
            <w:shd w:fill="F3F7F3"/>
            <w:tcMar>
              <w:top w:w="80" w:type="dxa"/>
              <w:bottom w:w="80" w:type="dxa"/>
              <w:start w:w="120" w:type="dxa"/>
              <w:end w:w="120" w:type="dxa"/>
            </w:tcMar>
          </w:tcPr>
          <w:p>
            <w:pPr>
              <w:spacing w:before="0" w:after="0" w:line="276" w:lineRule="auto"/>
              <w:jc w:val="left"/>
            </w:pPr>
            <w:r>
              <w:rPr>
                <w:rFonts w:ascii="Calibri" w:hAnsi="Calibri" w:eastAsia="Calibri"/>
                <w:b w:val="0"/>
                <w:color w:val="17251C"/>
                <w:sz w:val="18"/>
              </w:rPr>
              <w:t>Recette, formation, déploiement et hypercare</w:t>
            </w:r>
          </w:p>
        </w:tc>
        <w:tc>
          <w:tcPr>
            <w:tcW w:type="dxa" w:w="1920"/>
            <w:vAlign w:val="center"/>
            <w:tcBorders>
              <w:top w:val="single" w:sz="4" w:color="D8E3D9"/>
              <w:left w:val="single" w:sz="4" w:color="D8E3D9"/>
              <w:bottom w:val="single" w:sz="4" w:color="D8E3D9"/>
              <w:right w:val="single" w:sz="4" w:color="D8E3D9"/>
              <w:insideH w:val="single" w:sz="4" w:color="D8E3D9"/>
              <w:insideV w:val="single" w:sz="4" w:color="D8E3D9"/>
            </w:tcBorders>
            <w:shd w:fill="F3F7F3"/>
            <w:tcMar>
              <w:top w:w="80" w:type="dxa"/>
              <w:bottom w:w="80" w:type="dxa"/>
              <w:start w:w="120" w:type="dxa"/>
              <w:end w:w="120" w:type="dxa"/>
            </w:tcMar>
          </w:tcPr>
          <w:p>
            <w:pPr>
              <w:spacing w:before="0" w:after="0" w:line="276" w:lineRule="auto"/>
              <w:jc w:val="right"/>
            </w:pPr>
            <w:r>
              <w:rPr>
                <w:rFonts w:ascii="Calibri" w:hAnsi="Calibri" w:eastAsia="Calibri"/>
                <w:b/>
                <w:color w:val="234E2B"/>
                <w:sz w:val="18"/>
              </w:rPr>
              <w:t>2 200 000</w:t>
            </w:r>
          </w:p>
        </w:tc>
      </w:tr>
      <w:tr>
        <w:trPr/>
        <w:tc>
          <w:tcPr>
            <w:tcW w:type="dxa" w:w="7440"/>
            <w:vAlign w:val="center"/>
            <w:tcBorders>
              <w:top w:val="single" w:sz="4" w:color="D8E3D9"/>
              <w:left w:val="single" w:sz="4" w:color="D8E3D9"/>
              <w:bottom w:val="single" w:sz="4" w:color="D8E3D9"/>
              <w:right w:val="single" w:sz="4" w:color="D8E3D9"/>
              <w:insideH w:val="single" w:sz="4" w:color="D8E3D9"/>
              <w:insideV w:val="single" w:sz="4" w:color="D8E3D9"/>
            </w:tcBorders>
            <w:shd w:fill="17251C"/>
            <w:tcMar>
              <w:top w:w="80" w:type="dxa"/>
              <w:bottom w:w="80" w:type="dxa"/>
              <w:start w:w="120" w:type="dxa"/>
              <w:end w:w="120" w:type="dxa"/>
            </w:tcMar>
          </w:tcPr>
          <w:p>
            <w:pPr>
              <w:spacing w:before="0" w:after="0" w:line="276" w:lineRule="auto"/>
              <w:jc w:val="left"/>
            </w:pPr>
            <w:r>
              <w:rPr>
                <w:rFonts w:ascii="Calibri" w:hAnsi="Calibri" w:eastAsia="Calibri"/>
                <w:b/>
                <w:color w:val="FFFFFF"/>
                <w:sz w:val="18"/>
              </w:rPr>
              <w:t>TOTAL PROJET HT</w:t>
            </w:r>
          </w:p>
        </w:tc>
        <w:tc>
          <w:tcPr>
            <w:tcW w:type="dxa" w:w="1920"/>
            <w:vAlign w:val="center"/>
            <w:tcBorders>
              <w:top w:val="single" w:sz="4" w:color="D8E3D9"/>
              <w:left w:val="single" w:sz="4" w:color="D8E3D9"/>
              <w:bottom w:val="single" w:sz="4" w:color="D8E3D9"/>
              <w:right w:val="single" w:sz="4" w:color="D8E3D9"/>
              <w:insideH w:val="single" w:sz="4" w:color="D8E3D9"/>
              <w:insideV w:val="single" w:sz="4" w:color="D8E3D9"/>
            </w:tcBorders>
            <w:shd w:fill="17251C"/>
            <w:tcMar>
              <w:top w:w="80" w:type="dxa"/>
              <w:bottom w:w="80" w:type="dxa"/>
              <w:start w:w="120" w:type="dxa"/>
              <w:end w:w="120" w:type="dxa"/>
            </w:tcMar>
          </w:tcPr>
          <w:p>
            <w:pPr>
              <w:spacing w:before="0" w:after="0" w:line="276" w:lineRule="auto"/>
              <w:jc w:val="right"/>
            </w:pPr>
            <w:r>
              <w:rPr>
                <w:rFonts w:ascii="Calibri" w:hAnsi="Calibri" w:eastAsia="Calibri"/>
                <w:b/>
                <w:color w:val="FFFFFF"/>
                <w:sz w:val="18"/>
              </w:rPr>
              <w:t>36 850 000 FCFA</w:t>
            </w:r>
          </w:p>
        </w:tc>
      </w:tr>
    </w:tbl>
    <w:p>
      <w:pPr>
        <w:spacing w:after="40"/>
      </w:pPr>
    </w:p>
    <w:p>
      <w:pPr>
        <w:spacing w:after="200" w:line="320" w:lineRule="auto"/>
        <w:jc w:val="left"/>
        <w:keepLines/>
      </w:pPr>
      <w:r>
        <w:rPr>
          <w:rFonts w:ascii="Calibri" w:hAnsi="Calibri" w:eastAsia="Calibri"/>
          <w:i/>
          <w:color w:val="17251C"/>
          <w:sz w:val="22"/>
        </w:rPr>
        <w:t>TVA et retenues éventuelles selon la réglementation applicable. Les services tiers et les frais de déplacement hors Abidjan ne sont pas inclus.</w:t>
      </w:r>
    </w:p>
    <w:p>
      <w:pPr>
        <w:pStyle w:val="Heading2"/>
        <w:keepNext/>
      </w:pPr>
      <w:r>
        <w:t>8.1 Échéancier de paiement proposé</w:t>
      </w:r>
    </w:p>
    <w:tbl>
      <w:tblPr>
        <w:tblW w:type="dxa" w:w="9360"/>
        <w:jc w:val="left"/>
        <w:tblLayout w:type="fixed"/>
        <w:tblLook w:firstColumn="1" w:firstRow="1" w:lastColumn="0" w:lastRow="0" w:noHBand="0" w:noVBand="1" w:val="04A0"/>
        <w:tblInd w:type="dxa" w:w="120"/>
      </w:tblPr>
      <w:tblGrid>
        <w:gridCol w:w="1200"/>
        <w:gridCol w:w="5460"/>
        <w:gridCol w:w="2700"/>
      </w:tblGrid>
      <w:tr>
        <w:trPr>
          <w:tblHeader w:val="true"/>
        </w:trPr>
        <w:tc>
          <w:tcPr>
            <w:tcW w:type="dxa" w:w="1200"/>
            <w:vAlign w:val="center"/>
            <w:tcBorders>
              <w:top w:val="single" w:sz="4" w:color="D8E3D9"/>
              <w:left w:val="single" w:sz="4" w:color="D8E3D9"/>
              <w:bottom w:val="single" w:sz="4" w:color="D8E3D9"/>
              <w:right w:val="single" w:sz="4" w:color="D8E3D9"/>
              <w:insideH w:val="single" w:sz="4" w:color="D8E3D9"/>
              <w:insideV w:val="single" w:sz="4" w:color="D8E3D9"/>
            </w:tcBorders>
            <w:shd w:fill="234E2B"/>
            <w:tcMar>
              <w:top w:w="80" w:type="dxa"/>
              <w:bottom w:w="80" w:type="dxa"/>
              <w:start w:w="120" w:type="dxa"/>
              <w:end w:w="120" w:type="dxa"/>
            </w:tcMar>
          </w:tcPr>
          <w:p>
            <w:pPr>
              <w:spacing w:before="0" w:after="0" w:line="276" w:lineRule="auto"/>
              <w:jc w:val="left"/>
            </w:pPr>
            <w:r>
              <w:rPr>
                <w:rFonts w:ascii="Calibri" w:hAnsi="Calibri" w:eastAsia="Calibri"/>
                <w:b/>
                <w:color w:val="FFFFFF"/>
                <w:sz w:val="18"/>
              </w:rPr>
              <w:t>Échéance</w:t>
            </w:r>
          </w:p>
        </w:tc>
        <w:tc>
          <w:tcPr>
            <w:tcW w:type="dxa" w:w="5460"/>
            <w:vAlign w:val="center"/>
            <w:tcBorders>
              <w:top w:val="single" w:sz="4" w:color="D8E3D9"/>
              <w:left w:val="single" w:sz="4" w:color="D8E3D9"/>
              <w:bottom w:val="single" w:sz="4" w:color="D8E3D9"/>
              <w:right w:val="single" w:sz="4" w:color="D8E3D9"/>
              <w:insideH w:val="single" w:sz="4" w:color="D8E3D9"/>
              <w:insideV w:val="single" w:sz="4" w:color="D8E3D9"/>
            </w:tcBorders>
            <w:shd w:fill="234E2B"/>
            <w:tcMar>
              <w:top w:w="80" w:type="dxa"/>
              <w:bottom w:w="80" w:type="dxa"/>
              <w:start w:w="120" w:type="dxa"/>
              <w:end w:w="120" w:type="dxa"/>
            </w:tcMar>
          </w:tcPr>
          <w:p>
            <w:pPr>
              <w:spacing w:before="0" w:after="0" w:line="276" w:lineRule="auto"/>
              <w:jc w:val="left"/>
            </w:pPr>
            <w:r>
              <w:rPr>
                <w:rFonts w:ascii="Calibri" w:hAnsi="Calibri" w:eastAsia="Calibri"/>
                <w:b/>
                <w:color w:val="FFFFFF"/>
                <w:sz w:val="18"/>
              </w:rPr>
              <w:t>Jalon</w:t>
            </w:r>
          </w:p>
        </w:tc>
        <w:tc>
          <w:tcPr>
            <w:tcW w:type="dxa" w:w="2700"/>
            <w:vAlign w:val="center"/>
            <w:tcBorders>
              <w:top w:val="single" w:sz="4" w:color="D8E3D9"/>
              <w:left w:val="single" w:sz="4" w:color="D8E3D9"/>
              <w:bottom w:val="single" w:sz="4" w:color="D8E3D9"/>
              <w:right w:val="single" w:sz="4" w:color="D8E3D9"/>
              <w:insideH w:val="single" w:sz="4" w:color="D8E3D9"/>
              <w:insideV w:val="single" w:sz="4" w:color="D8E3D9"/>
            </w:tcBorders>
            <w:shd w:fill="234E2B"/>
            <w:tcMar>
              <w:top w:w="80" w:type="dxa"/>
              <w:bottom w:w="80" w:type="dxa"/>
              <w:start w:w="120" w:type="dxa"/>
              <w:end w:w="120" w:type="dxa"/>
            </w:tcMar>
          </w:tcPr>
          <w:p>
            <w:pPr>
              <w:spacing w:before="0" w:after="0" w:line="276" w:lineRule="auto"/>
              <w:jc w:val="right"/>
            </w:pPr>
            <w:r>
              <w:rPr>
                <w:rFonts w:ascii="Calibri" w:hAnsi="Calibri" w:eastAsia="Calibri"/>
                <w:b/>
                <w:color w:val="E9D928"/>
                <w:sz w:val="18"/>
              </w:rPr>
              <w:t>Montant HT</w:t>
            </w:r>
          </w:p>
        </w:tc>
      </w:tr>
      <w:tr>
        <w:trPr/>
        <w:tc>
          <w:tcPr>
            <w:tcW w:type="dxa" w:w="1200"/>
            <w:vAlign w:val="center"/>
            <w:tcBorders>
              <w:top w:val="single" w:sz="4" w:color="D8E3D9"/>
              <w:left w:val="single" w:sz="4" w:color="D8E3D9"/>
              <w:bottom w:val="single" w:sz="4" w:color="D8E3D9"/>
              <w:right w:val="single" w:sz="4" w:color="D8E3D9"/>
              <w:insideH w:val="single" w:sz="4" w:color="D8E3D9"/>
              <w:insideV w:val="single" w:sz="4" w:color="D8E3D9"/>
            </w:tcBorders>
            <w:shd w:fill="F3F7F3"/>
            <w:tcMar>
              <w:top w:w="80" w:type="dxa"/>
              <w:bottom w:w="80" w:type="dxa"/>
              <w:start w:w="120" w:type="dxa"/>
              <w:end w:w="120" w:type="dxa"/>
            </w:tcMar>
          </w:tcPr>
          <w:p>
            <w:pPr>
              <w:spacing w:before="0" w:after="0" w:line="276" w:lineRule="auto"/>
              <w:jc w:val="left"/>
            </w:pPr>
            <w:r>
              <w:rPr>
                <w:rFonts w:ascii="Calibri" w:hAnsi="Calibri" w:eastAsia="Calibri"/>
                <w:b w:val="0"/>
                <w:color w:val="17251C"/>
                <w:sz w:val="18"/>
              </w:rPr>
              <w:t>20 %</w:t>
            </w:r>
          </w:p>
        </w:tc>
        <w:tc>
          <w:tcPr>
            <w:tcW w:type="dxa" w:w="5460"/>
            <w:vAlign w:val="center"/>
            <w:tcBorders>
              <w:top w:val="single" w:sz="4" w:color="D8E3D9"/>
              <w:left w:val="single" w:sz="4" w:color="D8E3D9"/>
              <w:bottom w:val="single" w:sz="4" w:color="D8E3D9"/>
              <w:right w:val="single" w:sz="4" w:color="D8E3D9"/>
              <w:insideH w:val="single" w:sz="4" w:color="D8E3D9"/>
              <w:insideV w:val="single" w:sz="4" w:color="D8E3D9"/>
            </w:tcBorders>
            <w:shd w:fill="F3F7F3"/>
            <w:tcMar>
              <w:top w:w="80" w:type="dxa"/>
              <w:bottom w:w="80" w:type="dxa"/>
              <w:start w:w="120" w:type="dxa"/>
              <w:end w:w="120" w:type="dxa"/>
            </w:tcMar>
          </w:tcPr>
          <w:p>
            <w:pPr>
              <w:spacing w:before="0" w:after="0" w:line="276" w:lineRule="auto"/>
              <w:jc w:val="left"/>
            </w:pPr>
            <w:r>
              <w:rPr>
                <w:rFonts w:ascii="Calibri" w:hAnsi="Calibri" w:eastAsia="Calibri"/>
                <w:b w:val="0"/>
                <w:color w:val="17251C"/>
                <w:sz w:val="18"/>
              </w:rPr>
              <w:t>Commande et lancement</w:t>
            </w:r>
          </w:p>
        </w:tc>
        <w:tc>
          <w:tcPr>
            <w:tcW w:type="dxa" w:w="2700"/>
            <w:vAlign w:val="center"/>
            <w:tcBorders>
              <w:top w:val="single" w:sz="4" w:color="D8E3D9"/>
              <w:left w:val="single" w:sz="4" w:color="D8E3D9"/>
              <w:bottom w:val="single" w:sz="4" w:color="D8E3D9"/>
              <w:right w:val="single" w:sz="4" w:color="D8E3D9"/>
              <w:insideH w:val="single" w:sz="4" w:color="D8E3D9"/>
              <w:insideV w:val="single" w:sz="4" w:color="D8E3D9"/>
            </w:tcBorders>
            <w:shd w:fill="F3F7F3"/>
            <w:tcMar>
              <w:top w:w="80" w:type="dxa"/>
              <w:bottom w:w="80" w:type="dxa"/>
              <w:start w:w="120" w:type="dxa"/>
              <w:end w:w="120" w:type="dxa"/>
            </w:tcMar>
          </w:tcPr>
          <w:p>
            <w:pPr>
              <w:spacing w:before="0" w:after="0" w:line="276" w:lineRule="auto"/>
              <w:jc w:val="right"/>
            </w:pPr>
            <w:r>
              <w:rPr>
                <w:rFonts w:ascii="Calibri" w:hAnsi="Calibri" w:eastAsia="Calibri"/>
                <w:b/>
                <w:color w:val="234E2B"/>
                <w:sz w:val="18"/>
              </w:rPr>
              <w:t>7 370 000 FCFA</w:t>
            </w:r>
          </w:p>
        </w:tc>
      </w:tr>
      <w:tr>
        <w:trPr/>
        <w:tc>
          <w:tcPr>
            <w:tcW w:type="dxa" w:w="1200"/>
            <w:vAlign w:val="center"/>
            <w:tcBorders>
              <w:top w:val="single" w:sz="4" w:color="D8E3D9"/>
              <w:left w:val="single" w:sz="4" w:color="D8E3D9"/>
              <w:bottom w:val="single" w:sz="4" w:color="D8E3D9"/>
              <w:right w:val="single" w:sz="4" w:color="D8E3D9"/>
              <w:insideH w:val="single" w:sz="4" w:color="D8E3D9"/>
              <w:insideV w:val="single" w:sz="4" w:color="D8E3D9"/>
            </w:tcBorders>
            <w:shd w:fill="FFFFFF"/>
            <w:tcMar>
              <w:top w:w="80" w:type="dxa"/>
              <w:bottom w:w="80" w:type="dxa"/>
              <w:start w:w="120" w:type="dxa"/>
              <w:end w:w="120" w:type="dxa"/>
            </w:tcMar>
          </w:tcPr>
          <w:p>
            <w:pPr>
              <w:spacing w:before="0" w:after="0" w:line="276" w:lineRule="auto"/>
              <w:jc w:val="left"/>
            </w:pPr>
            <w:r>
              <w:rPr>
                <w:rFonts w:ascii="Calibri" w:hAnsi="Calibri" w:eastAsia="Calibri"/>
                <w:b w:val="0"/>
                <w:color w:val="17251C"/>
                <w:sz w:val="18"/>
              </w:rPr>
              <w:t>20 %</w:t>
            </w:r>
          </w:p>
        </w:tc>
        <w:tc>
          <w:tcPr>
            <w:tcW w:type="dxa" w:w="5460"/>
            <w:vAlign w:val="center"/>
            <w:tcBorders>
              <w:top w:val="single" w:sz="4" w:color="D8E3D9"/>
              <w:left w:val="single" w:sz="4" w:color="D8E3D9"/>
              <w:bottom w:val="single" w:sz="4" w:color="D8E3D9"/>
              <w:right w:val="single" w:sz="4" w:color="D8E3D9"/>
              <w:insideH w:val="single" w:sz="4" w:color="D8E3D9"/>
              <w:insideV w:val="single" w:sz="4" w:color="D8E3D9"/>
            </w:tcBorders>
            <w:shd w:fill="FFFFFF"/>
            <w:tcMar>
              <w:top w:w="80" w:type="dxa"/>
              <w:bottom w:w="80" w:type="dxa"/>
              <w:start w:w="120" w:type="dxa"/>
              <w:end w:w="120" w:type="dxa"/>
            </w:tcMar>
          </w:tcPr>
          <w:p>
            <w:pPr>
              <w:spacing w:before="0" w:after="0" w:line="276" w:lineRule="auto"/>
              <w:jc w:val="left"/>
            </w:pPr>
            <w:r>
              <w:rPr>
                <w:rFonts w:ascii="Calibri" w:hAnsi="Calibri" w:eastAsia="Calibri"/>
                <w:b w:val="0"/>
                <w:color w:val="17251C"/>
                <w:sz w:val="18"/>
              </w:rPr>
              <w:t>Blueprint et prototype validés</w:t>
            </w:r>
          </w:p>
        </w:tc>
        <w:tc>
          <w:tcPr>
            <w:tcW w:type="dxa" w:w="2700"/>
            <w:vAlign w:val="center"/>
            <w:tcBorders>
              <w:top w:val="single" w:sz="4" w:color="D8E3D9"/>
              <w:left w:val="single" w:sz="4" w:color="D8E3D9"/>
              <w:bottom w:val="single" w:sz="4" w:color="D8E3D9"/>
              <w:right w:val="single" w:sz="4" w:color="D8E3D9"/>
              <w:insideH w:val="single" w:sz="4" w:color="D8E3D9"/>
              <w:insideV w:val="single" w:sz="4" w:color="D8E3D9"/>
            </w:tcBorders>
            <w:shd w:fill="FFFFFF"/>
            <w:tcMar>
              <w:top w:w="80" w:type="dxa"/>
              <w:bottom w:w="80" w:type="dxa"/>
              <w:start w:w="120" w:type="dxa"/>
              <w:end w:w="120" w:type="dxa"/>
            </w:tcMar>
          </w:tcPr>
          <w:p>
            <w:pPr>
              <w:spacing w:before="0" w:after="0" w:line="276" w:lineRule="auto"/>
              <w:jc w:val="right"/>
            </w:pPr>
            <w:r>
              <w:rPr>
                <w:rFonts w:ascii="Calibri" w:hAnsi="Calibri" w:eastAsia="Calibri"/>
                <w:b/>
                <w:color w:val="234E2B"/>
                <w:sz w:val="18"/>
              </w:rPr>
              <w:t>7 370 000 FCFA</w:t>
            </w:r>
          </w:p>
        </w:tc>
      </w:tr>
      <w:tr>
        <w:trPr/>
        <w:tc>
          <w:tcPr>
            <w:tcW w:type="dxa" w:w="1200"/>
            <w:vAlign w:val="center"/>
            <w:tcBorders>
              <w:top w:val="single" w:sz="4" w:color="D8E3D9"/>
              <w:left w:val="single" w:sz="4" w:color="D8E3D9"/>
              <w:bottom w:val="single" w:sz="4" w:color="D8E3D9"/>
              <w:right w:val="single" w:sz="4" w:color="D8E3D9"/>
              <w:insideH w:val="single" w:sz="4" w:color="D8E3D9"/>
              <w:insideV w:val="single" w:sz="4" w:color="D8E3D9"/>
            </w:tcBorders>
            <w:shd w:fill="F3F7F3"/>
            <w:tcMar>
              <w:top w:w="80" w:type="dxa"/>
              <w:bottom w:w="80" w:type="dxa"/>
              <w:start w:w="120" w:type="dxa"/>
              <w:end w:w="120" w:type="dxa"/>
            </w:tcMar>
          </w:tcPr>
          <w:p>
            <w:pPr>
              <w:spacing w:before="0" w:after="0" w:line="276" w:lineRule="auto"/>
              <w:jc w:val="left"/>
            </w:pPr>
            <w:r>
              <w:rPr>
                <w:rFonts w:ascii="Calibri" w:hAnsi="Calibri" w:eastAsia="Calibri"/>
                <w:b w:val="0"/>
                <w:color w:val="17251C"/>
                <w:sz w:val="18"/>
              </w:rPr>
              <w:t>25 %</w:t>
            </w:r>
          </w:p>
        </w:tc>
        <w:tc>
          <w:tcPr>
            <w:tcW w:type="dxa" w:w="5460"/>
            <w:vAlign w:val="center"/>
            <w:tcBorders>
              <w:top w:val="single" w:sz="4" w:color="D8E3D9"/>
              <w:left w:val="single" w:sz="4" w:color="D8E3D9"/>
              <w:bottom w:val="single" w:sz="4" w:color="D8E3D9"/>
              <w:right w:val="single" w:sz="4" w:color="D8E3D9"/>
              <w:insideH w:val="single" w:sz="4" w:color="D8E3D9"/>
              <w:insideV w:val="single" w:sz="4" w:color="D8E3D9"/>
            </w:tcBorders>
            <w:shd w:fill="F3F7F3"/>
            <w:tcMar>
              <w:top w:w="80" w:type="dxa"/>
              <w:bottom w:w="80" w:type="dxa"/>
              <w:start w:w="120" w:type="dxa"/>
              <w:end w:w="120" w:type="dxa"/>
            </w:tcMar>
          </w:tcPr>
          <w:p>
            <w:pPr>
              <w:spacing w:before="0" w:after="0" w:line="276" w:lineRule="auto"/>
              <w:jc w:val="left"/>
            </w:pPr>
            <w:r>
              <w:rPr>
                <w:rFonts w:ascii="Calibri" w:hAnsi="Calibri" w:eastAsia="Calibri"/>
                <w:b w:val="0"/>
                <w:color w:val="17251C"/>
                <w:sz w:val="18"/>
              </w:rPr>
              <w:t>Socle ERP et BTP disponibles en recette</w:t>
            </w:r>
          </w:p>
        </w:tc>
        <w:tc>
          <w:tcPr>
            <w:tcW w:type="dxa" w:w="2700"/>
            <w:vAlign w:val="center"/>
            <w:tcBorders>
              <w:top w:val="single" w:sz="4" w:color="D8E3D9"/>
              <w:left w:val="single" w:sz="4" w:color="D8E3D9"/>
              <w:bottom w:val="single" w:sz="4" w:color="D8E3D9"/>
              <w:right w:val="single" w:sz="4" w:color="D8E3D9"/>
              <w:insideH w:val="single" w:sz="4" w:color="D8E3D9"/>
              <w:insideV w:val="single" w:sz="4" w:color="D8E3D9"/>
            </w:tcBorders>
            <w:shd w:fill="F3F7F3"/>
            <w:tcMar>
              <w:top w:w="80" w:type="dxa"/>
              <w:bottom w:w="80" w:type="dxa"/>
              <w:start w:w="120" w:type="dxa"/>
              <w:end w:w="120" w:type="dxa"/>
            </w:tcMar>
          </w:tcPr>
          <w:p>
            <w:pPr>
              <w:spacing w:before="0" w:after="0" w:line="276" w:lineRule="auto"/>
              <w:jc w:val="right"/>
            </w:pPr>
            <w:r>
              <w:rPr>
                <w:rFonts w:ascii="Calibri" w:hAnsi="Calibri" w:eastAsia="Calibri"/>
                <w:b/>
                <w:color w:val="234E2B"/>
                <w:sz w:val="18"/>
              </w:rPr>
              <w:t>9 212 500 FCFA</w:t>
            </w:r>
          </w:p>
        </w:tc>
      </w:tr>
      <w:tr>
        <w:trPr/>
        <w:tc>
          <w:tcPr>
            <w:tcW w:type="dxa" w:w="1200"/>
            <w:vAlign w:val="center"/>
            <w:tcBorders>
              <w:top w:val="single" w:sz="4" w:color="D8E3D9"/>
              <w:left w:val="single" w:sz="4" w:color="D8E3D9"/>
              <w:bottom w:val="single" w:sz="4" w:color="D8E3D9"/>
              <w:right w:val="single" w:sz="4" w:color="D8E3D9"/>
              <w:insideH w:val="single" w:sz="4" w:color="D8E3D9"/>
              <w:insideV w:val="single" w:sz="4" w:color="D8E3D9"/>
            </w:tcBorders>
            <w:shd w:fill="FFFFFF"/>
            <w:tcMar>
              <w:top w:w="80" w:type="dxa"/>
              <w:bottom w:w="80" w:type="dxa"/>
              <w:start w:w="120" w:type="dxa"/>
              <w:end w:w="120" w:type="dxa"/>
            </w:tcMar>
          </w:tcPr>
          <w:p>
            <w:pPr>
              <w:spacing w:before="0" w:after="0" w:line="276" w:lineRule="auto"/>
              <w:jc w:val="left"/>
            </w:pPr>
            <w:r>
              <w:rPr>
                <w:rFonts w:ascii="Calibri" w:hAnsi="Calibri" w:eastAsia="Calibri"/>
                <w:b w:val="0"/>
                <w:color w:val="17251C"/>
                <w:sz w:val="18"/>
              </w:rPr>
              <w:t>20 %</w:t>
            </w:r>
          </w:p>
        </w:tc>
        <w:tc>
          <w:tcPr>
            <w:tcW w:type="dxa" w:w="5460"/>
            <w:vAlign w:val="center"/>
            <w:tcBorders>
              <w:top w:val="single" w:sz="4" w:color="D8E3D9"/>
              <w:left w:val="single" w:sz="4" w:color="D8E3D9"/>
              <w:bottom w:val="single" w:sz="4" w:color="D8E3D9"/>
              <w:right w:val="single" w:sz="4" w:color="D8E3D9"/>
              <w:insideH w:val="single" w:sz="4" w:color="D8E3D9"/>
              <w:insideV w:val="single" w:sz="4" w:color="D8E3D9"/>
            </w:tcBorders>
            <w:shd w:fill="FFFFFF"/>
            <w:tcMar>
              <w:top w:w="80" w:type="dxa"/>
              <w:bottom w:w="80" w:type="dxa"/>
              <w:start w:w="120" w:type="dxa"/>
              <w:end w:w="120" w:type="dxa"/>
            </w:tcMar>
          </w:tcPr>
          <w:p>
            <w:pPr>
              <w:spacing w:before="0" w:after="0" w:line="276" w:lineRule="auto"/>
              <w:jc w:val="left"/>
            </w:pPr>
            <w:r>
              <w:rPr>
                <w:rFonts w:ascii="Calibri" w:hAnsi="Calibri" w:eastAsia="Calibri"/>
                <w:b w:val="0"/>
                <w:color w:val="17251C"/>
                <w:sz w:val="18"/>
              </w:rPr>
              <w:t>Modules métiers disponibles en recette</w:t>
            </w:r>
          </w:p>
        </w:tc>
        <w:tc>
          <w:tcPr>
            <w:tcW w:type="dxa" w:w="2700"/>
            <w:vAlign w:val="center"/>
            <w:tcBorders>
              <w:top w:val="single" w:sz="4" w:color="D8E3D9"/>
              <w:left w:val="single" w:sz="4" w:color="D8E3D9"/>
              <w:bottom w:val="single" w:sz="4" w:color="D8E3D9"/>
              <w:right w:val="single" w:sz="4" w:color="D8E3D9"/>
              <w:insideH w:val="single" w:sz="4" w:color="D8E3D9"/>
              <w:insideV w:val="single" w:sz="4" w:color="D8E3D9"/>
            </w:tcBorders>
            <w:shd w:fill="FFFFFF"/>
            <w:tcMar>
              <w:top w:w="80" w:type="dxa"/>
              <w:bottom w:w="80" w:type="dxa"/>
              <w:start w:w="120" w:type="dxa"/>
              <w:end w:w="120" w:type="dxa"/>
            </w:tcMar>
          </w:tcPr>
          <w:p>
            <w:pPr>
              <w:spacing w:before="0" w:after="0" w:line="276" w:lineRule="auto"/>
              <w:jc w:val="right"/>
            </w:pPr>
            <w:r>
              <w:rPr>
                <w:rFonts w:ascii="Calibri" w:hAnsi="Calibri" w:eastAsia="Calibri"/>
                <w:b/>
                <w:color w:val="234E2B"/>
                <w:sz w:val="18"/>
              </w:rPr>
              <w:t>7 370 000 FCFA</w:t>
            </w:r>
          </w:p>
        </w:tc>
      </w:tr>
      <w:tr>
        <w:trPr/>
        <w:tc>
          <w:tcPr>
            <w:tcW w:type="dxa" w:w="1200"/>
            <w:vAlign w:val="center"/>
            <w:tcBorders>
              <w:top w:val="single" w:sz="4" w:color="D8E3D9"/>
              <w:left w:val="single" w:sz="4" w:color="D8E3D9"/>
              <w:bottom w:val="single" w:sz="4" w:color="D8E3D9"/>
              <w:right w:val="single" w:sz="4" w:color="D8E3D9"/>
              <w:insideH w:val="single" w:sz="4" w:color="D8E3D9"/>
              <w:insideV w:val="single" w:sz="4" w:color="D8E3D9"/>
            </w:tcBorders>
            <w:shd w:fill="F3F7F3"/>
            <w:tcMar>
              <w:top w:w="80" w:type="dxa"/>
              <w:bottom w:w="80" w:type="dxa"/>
              <w:start w:w="120" w:type="dxa"/>
              <w:end w:w="120" w:type="dxa"/>
            </w:tcMar>
          </w:tcPr>
          <w:p>
            <w:pPr>
              <w:spacing w:before="0" w:after="0" w:line="276" w:lineRule="auto"/>
              <w:jc w:val="left"/>
            </w:pPr>
            <w:r>
              <w:rPr>
                <w:rFonts w:ascii="Calibri" w:hAnsi="Calibri" w:eastAsia="Calibri"/>
                <w:b w:val="0"/>
                <w:color w:val="17251C"/>
                <w:sz w:val="18"/>
              </w:rPr>
              <w:t>10 %</w:t>
            </w:r>
          </w:p>
        </w:tc>
        <w:tc>
          <w:tcPr>
            <w:tcW w:type="dxa" w:w="5460"/>
            <w:vAlign w:val="center"/>
            <w:tcBorders>
              <w:top w:val="single" w:sz="4" w:color="D8E3D9"/>
              <w:left w:val="single" w:sz="4" w:color="D8E3D9"/>
              <w:bottom w:val="single" w:sz="4" w:color="D8E3D9"/>
              <w:right w:val="single" w:sz="4" w:color="D8E3D9"/>
              <w:insideH w:val="single" w:sz="4" w:color="D8E3D9"/>
              <w:insideV w:val="single" w:sz="4" w:color="D8E3D9"/>
            </w:tcBorders>
            <w:shd w:fill="F3F7F3"/>
            <w:tcMar>
              <w:top w:w="80" w:type="dxa"/>
              <w:bottom w:w="80" w:type="dxa"/>
              <w:start w:w="120" w:type="dxa"/>
              <w:end w:w="120" w:type="dxa"/>
            </w:tcMar>
          </w:tcPr>
          <w:p>
            <w:pPr>
              <w:spacing w:before="0" w:after="0" w:line="276" w:lineRule="auto"/>
              <w:jc w:val="left"/>
            </w:pPr>
            <w:r>
              <w:rPr>
                <w:rFonts w:ascii="Calibri" w:hAnsi="Calibri" w:eastAsia="Calibri"/>
                <w:b w:val="0"/>
                <w:color w:val="17251C"/>
                <w:sz w:val="18"/>
              </w:rPr>
              <w:t>Mise en production</w:t>
            </w:r>
          </w:p>
        </w:tc>
        <w:tc>
          <w:tcPr>
            <w:tcW w:type="dxa" w:w="2700"/>
            <w:vAlign w:val="center"/>
            <w:tcBorders>
              <w:top w:val="single" w:sz="4" w:color="D8E3D9"/>
              <w:left w:val="single" w:sz="4" w:color="D8E3D9"/>
              <w:bottom w:val="single" w:sz="4" w:color="D8E3D9"/>
              <w:right w:val="single" w:sz="4" w:color="D8E3D9"/>
              <w:insideH w:val="single" w:sz="4" w:color="D8E3D9"/>
              <w:insideV w:val="single" w:sz="4" w:color="D8E3D9"/>
            </w:tcBorders>
            <w:shd w:fill="F3F7F3"/>
            <w:tcMar>
              <w:top w:w="80" w:type="dxa"/>
              <w:bottom w:w="80" w:type="dxa"/>
              <w:start w:w="120" w:type="dxa"/>
              <w:end w:w="120" w:type="dxa"/>
            </w:tcMar>
          </w:tcPr>
          <w:p>
            <w:pPr>
              <w:spacing w:before="0" w:after="0" w:line="276" w:lineRule="auto"/>
              <w:jc w:val="right"/>
            </w:pPr>
            <w:r>
              <w:rPr>
                <w:rFonts w:ascii="Calibri" w:hAnsi="Calibri" w:eastAsia="Calibri"/>
                <w:b/>
                <w:color w:val="234E2B"/>
                <w:sz w:val="18"/>
              </w:rPr>
              <w:t>3 685 000 FCFA</w:t>
            </w:r>
          </w:p>
        </w:tc>
      </w:tr>
      <w:tr>
        <w:trPr/>
        <w:tc>
          <w:tcPr>
            <w:tcW w:type="dxa" w:w="1200"/>
            <w:vAlign w:val="center"/>
            <w:tcBorders>
              <w:top w:val="single" w:sz="4" w:color="D8E3D9"/>
              <w:left w:val="single" w:sz="4" w:color="D8E3D9"/>
              <w:bottom w:val="single" w:sz="4" w:color="D8E3D9"/>
              <w:right w:val="single" w:sz="4" w:color="D8E3D9"/>
              <w:insideH w:val="single" w:sz="4" w:color="D8E3D9"/>
              <w:insideV w:val="single" w:sz="4" w:color="D8E3D9"/>
            </w:tcBorders>
            <w:shd w:fill="FFFFFF"/>
            <w:tcMar>
              <w:top w:w="80" w:type="dxa"/>
              <w:bottom w:w="80" w:type="dxa"/>
              <w:start w:w="120" w:type="dxa"/>
              <w:end w:w="120" w:type="dxa"/>
            </w:tcMar>
          </w:tcPr>
          <w:p>
            <w:pPr>
              <w:spacing w:before="0" w:after="0" w:line="276" w:lineRule="auto"/>
              <w:jc w:val="left"/>
            </w:pPr>
            <w:r>
              <w:rPr>
                <w:rFonts w:ascii="Calibri" w:hAnsi="Calibri" w:eastAsia="Calibri"/>
                <w:b w:val="0"/>
                <w:color w:val="17251C"/>
                <w:sz w:val="18"/>
              </w:rPr>
              <w:t>5 %</w:t>
            </w:r>
          </w:p>
        </w:tc>
        <w:tc>
          <w:tcPr>
            <w:tcW w:type="dxa" w:w="5460"/>
            <w:vAlign w:val="center"/>
            <w:tcBorders>
              <w:top w:val="single" w:sz="4" w:color="D8E3D9"/>
              <w:left w:val="single" w:sz="4" w:color="D8E3D9"/>
              <w:bottom w:val="single" w:sz="4" w:color="D8E3D9"/>
              <w:right w:val="single" w:sz="4" w:color="D8E3D9"/>
              <w:insideH w:val="single" w:sz="4" w:color="D8E3D9"/>
              <w:insideV w:val="single" w:sz="4" w:color="D8E3D9"/>
            </w:tcBorders>
            <w:shd w:fill="FFFFFF"/>
            <w:tcMar>
              <w:top w:w="80" w:type="dxa"/>
              <w:bottom w:w="80" w:type="dxa"/>
              <w:start w:w="120" w:type="dxa"/>
              <w:end w:w="120" w:type="dxa"/>
            </w:tcMar>
          </w:tcPr>
          <w:p>
            <w:pPr>
              <w:spacing w:before="0" w:after="0" w:line="276" w:lineRule="auto"/>
              <w:jc w:val="left"/>
            </w:pPr>
            <w:r>
              <w:rPr>
                <w:rFonts w:ascii="Calibri" w:hAnsi="Calibri" w:eastAsia="Calibri"/>
                <w:b w:val="0"/>
                <w:color w:val="17251C"/>
                <w:sz w:val="18"/>
              </w:rPr>
              <w:t>Réception après hypercare</w:t>
            </w:r>
          </w:p>
        </w:tc>
        <w:tc>
          <w:tcPr>
            <w:tcW w:type="dxa" w:w="2700"/>
            <w:vAlign w:val="center"/>
            <w:tcBorders>
              <w:top w:val="single" w:sz="4" w:color="D8E3D9"/>
              <w:left w:val="single" w:sz="4" w:color="D8E3D9"/>
              <w:bottom w:val="single" w:sz="4" w:color="D8E3D9"/>
              <w:right w:val="single" w:sz="4" w:color="D8E3D9"/>
              <w:insideH w:val="single" w:sz="4" w:color="D8E3D9"/>
              <w:insideV w:val="single" w:sz="4" w:color="D8E3D9"/>
            </w:tcBorders>
            <w:shd w:fill="FFFFFF"/>
            <w:tcMar>
              <w:top w:w="80" w:type="dxa"/>
              <w:bottom w:w="80" w:type="dxa"/>
              <w:start w:w="120" w:type="dxa"/>
              <w:end w:w="120" w:type="dxa"/>
            </w:tcMar>
          </w:tcPr>
          <w:p>
            <w:pPr>
              <w:spacing w:before="0" w:after="0" w:line="276" w:lineRule="auto"/>
              <w:jc w:val="right"/>
            </w:pPr>
            <w:r>
              <w:rPr>
                <w:rFonts w:ascii="Calibri" w:hAnsi="Calibri" w:eastAsia="Calibri"/>
                <w:b/>
                <w:color w:val="234E2B"/>
                <w:sz w:val="18"/>
              </w:rPr>
              <w:t>1 842 500 FCFA</w:t>
            </w:r>
          </w:p>
        </w:tc>
      </w:tr>
    </w:tbl>
    <w:p>
      <w:pPr>
        <w:spacing w:after="40"/>
      </w:pPr>
    </w:p>
    <w:p>
      <w:pPr>
        <w:pStyle w:val="Heading2"/>
        <w:keepNext/>
      </w:pPr>
      <w:r>
        <w:t>8.2 Coûts récurrents indicatifs — non inclus</w:t>
      </w:r>
    </w:p>
    <w:tbl>
      <w:tblPr>
        <w:tblW w:type="dxa" w:w="9360"/>
        <w:jc w:val="left"/>
        <w:tblLayout w:type="fixed"/>
        <w:tblLook w:firstColumn="1" w:firstRow="1" w:lastColumn="0" w:lastRow="0" w:noHBand="0" w:noVBand="1" w:val="04A0"/>
        <w:tblInd w:type="dxa" w:w="120"/>
      </w:tblPr>
      <w:tblGrid>
        <w:gridCol w:w="6600"/>
        <w:gridCol w:w="2760"/>
      </w:tblGrid>
      <w:tr>
        <w:trPr>
          <w:tblHeader w:val="true"/>
        </w:trPr>
        <w:tc>
          <w:tcPr>
            <w:tcW w:type="dxa" w:w="6600"/>
            <w:vAlign w:val="center"/>
            <w:tcBorders>
              <w:top w:val="single" w:sz="4" w:color="D8E3D9"/>
              <w:left w:val="single" w:sz="4" w:color="D8E3D9"/>
              <w:bottom w:val="single" w:sz="4" w:color="D8E3D9"/>
              <w:right w:val="single" w:sz="4" w:color="D8E3D9"/>
              <w:insideH w:val="single" w:sz="4" w:color="D8E3D9"/>
              <w:insideV w:val="single" w:sz="4" w:color="D8E3D9"/>
            </w:tcBorders>
            <w:shd w:fill="234E2B"/>
            <w:tcMar>
              <w:top w:w="80" w:type="dxa"/>
              <w:bottom w:w="80" w:type="dxa"/>
              <w:start w:w="120" w:type="dxa"/>
              <w:end w:w="120" w:type="dxa"/>
            </w:tcMar>
          </w:tcPr>
          <w:p>
            <w:pPr>
              <w:spacing w:before="0" w:after="0" w:line="276" w:lineRule="auto"/>
              <w:jc w:val="left"/>
            </w:pPr>
            <w:r>
              <w:rPr>
                <w:rFonts w:ascii="Calibri" w:hAnsi="Calibri" w:eastAsia="Calibri"/>
                <w:b/>
                <w:color w:val="FFFFFF"/>
                <w:sz w:val="18"/>
              </w:rPr>
              <w:t>Service</w:t>
            </w:r>
          </w:p>
        </w:tc>
        <w:tc>
          <w:tcPr>
            <w:tcW w:type="dxa" w:w="2760"/>
            <w:vAlign w:val="center"/>
            <w:tcBorders>
              <w:top w:val="single" w:sz="4" w:color="D8E3D9"/>
              <w:left w:val="single" w:sz="4" w:color="D8E3D9"/>
              <w:bottom w:val="single" w:sz="4" w:color="D8E3D9"/>
              <w:right w:val="single" w:sz="4" w:color="D8E3D9"/>
              <w:insideH w:val="single" w:sz="4" w:color="D8E3D9"/>
              <w:insideV w:val="single" w:sz="4" w:color="D8E3D9"/>
            </w:tcBorders>
            <w:shd w:fill="234E2B"/>
            <w:tcMar>
              <w:top w:w="80" w:type="dxa"/>
              <w:bottom w:w="80" w:type="dxa"/>
              <w:start w:w="120" w:type="dxa"/>
              <w:end w:w="120" w:type="dxa"/>
            </w:tcMar>
          </w:tcPr>
          <w:p>
            <w:pPr>
              <w:spacing w:before="0" w:after="0" w:line="276" w:lineRule="auto"/>
              <w:jc w:val="right"/>
            </w:pPr>
            <w:r>
              <w:rPr>
                <w:rFonts w:ascii="Calibri" w:hAnsi="Calibri" w:eastAsia="Calibri"/>
                <w:b/>
                <w:color w:val="E9D928"/>
                <w:sz w:val="18"/>
              </w:rPr>
              <w:t>Montant mensuel HT</w:t>
            </w:r>
          </w:p>
        </w:tc>
      </w:tr>
      <w:tr>
        <w:trPr/>
        <w:tc>
          <w:tcPr>
            <w:tcW w:type="dxa" w:w="6600"/>
            <w:vAlign w:val="center"/>
            <w:tcBorders>
              <w:top w:val="single" w:sz="4" w:color="D8E3D9"/>
              <w:left w:val="single" w:sz="4" w:color="D8E3D9"/>
              <w:bottom w:val="single" w:sz="4" w:color="D8E3D9"/>
              <w:right w:val="single" w:sz="4" w:color="D8E3D9"/>
              <w:insideH w:val="single" w:sz="4" w:color="D8E3D9"/>
              <w:insideV w:val="single" w:sz="4" w:color="D8E3D9"/>
            </w:tcBorders>
            <w:shd w:fill="F3F7F3"/>
            <w:tcMar>
              <w:top w:w="80" w:type="dxa"/>
              <w:bottom w:w="80" w:type="dxa"/>
              <w:start w:w="120" w:type="dxa"/>
              <w:end w:w="120" w:type="dxa"/>
            </w:tcMar>
          </w:tcPr>
          <w:p>
            <w:pPr>
              <w:spacing w:before="0" w:after="0" w:line="276" w:lineRule="auto"/>
              <w:jc w:val="left"/>
            </w:pPr>
            <w:r>
              <w:rPr>
                <w:rFonts w:ascii="Calibri" w:hAnsi="Calibri" w:eastAsia="Calibri"/>
                <w:b w:val="0"/>
                <w:color w:val="17251C"/>
                <w:sz w:val="18"/>
              </w:rPr>
              <w:t>Cloud, sauvegardes, certificats et supervision</w:t>
            </w:r>
          </w:p>
        </w:tc>
        <w:tc>
          <w:tcPr>
            <w:tcW w:type="dxa" w:w="2760"/>
            <w:vAlign w:val="center"/>
            <w:tcBorders>
              <w:top w:val="single" w:sz="4" w:color="D8E3D9"/>
              <w:left w:val="single" w:sz="4" w:color="D8E3D9"/>
              <w:bottom w:val="single" w:sz="4" w:color="D8E3D9"/>
              <w:right w:val="single" w:sz="4" w:color="D8E3D9"/>
              <w:insideH w:val="single" w:sz="4" w:color="D8E3D9"/>
              <w:insideV w:val="single" w:sz="4" w:color="D8E3D9"/>
            </w:tcBorders>
            <w:shd w:fill="F3F7F3"/>
            <w:tcMar>
              <w:top w:w="80" w:type="dxa"/>
              <w:bottom w:w="80" w:type="dxa"/>
              <w:start w:w="120" w:type="dxa"/>
              <w:end w:w="120" w:type="dxa"/>
            </w:tcMar>
          </w:tcPr>
          <w:p>
            <w:pPr>
              <w:spacing w:before="0" w:after="0" w:line="276" w:lineRule="auto"/>
              <w:jc w:val="right"/>
            </w:pPr>
            <w:r>
              <w:rPr>
                <w:rFonts w:ascii="Calibri" w:hAnsi="Calibri" w:eastAsia="Calibri"/>
                <w:b/>
                <w:color w:val="234E2B"/>
                <w:sz w:val="18"/>
              </w:rPr>
              <w:t>240 000 FCFA</w:t>
            </w:r>
          </w:p>
        </w:tc>
      </w:tr>
      <w:tr>
        <w:trPr/>
        <w:tc>
          <w:tcPr>
            <w:tcW w:type="dxa" w:w="6600"/>
            <w:vAlign w:val="center"/>
            <w:tcBorders>
              <w:top w:val="single" w:sz="4" w:color="D8E3D9"/>
              <w:left w:val="single" w:sz="4" w:color="D8E3D9"/>
              <w:bottom w:val="single" w:sz="4" w:color="D8E3D9"/>
              <w:right w:val="single" w:sz="4" w:color="D8E3D9"/>
              <w:insideH w:val="single" w:sz="4" w:color="D8E3D9"/>
              <w:insideV w:val="single" w:sz="4" w:color="D8E3D9"/>
            </w:tcBorders>
            <w:shd w:fill="FFFFFF"/>
            <w:tcMar>
              <w:top w:w="80" w:type="dxa"/>
              <w:bottom w:w="80" w:type="dxa"/>
              <w:start w:w="120" w:type="dxa"/>
              <w:end w:w="120" w:type="dxa"/>
            </w:tcMar>
          </w:tcPr>
          <w:p>
            <w:pPr>
              <w:spacing w:before="0" w:after="0" w:line="276" w:lineRule="auto"/>
              <w:jc w:val="left"/>
            </w:pPr>
            <w:r>
              <w:rPr>
                <w:rFonts w:ascii="Calibri" w:hAnsi="Calibri" w:eastAsia="Calibri"/>
                <w:b w:val="0"/>
                <w:color w:val="17251C"/>
                <w:sz w:val="18"/>
              </w:rPr>
              <w:t>Support correctif et mises à jour</w:t>
            </w:r>
          </w:p>
        </w:tc>
        <w:tc>
          <w:tcPr>
            <w:tcW w:type="dxa" w:w="2760"/>
            <w:vAlign w:val="center"/>
            <w:tcBorders>
              <w:top w:val="single" w:sz="4" w:color="D8E3D9"/>
              <w:left w:val="single" w:sz="4" w:color="D8E3D9"/>
              <w:bottom w:val="single" w:sz="4" w:color="D8E3D9"/>
              <w:right w:val="single" w:sz="4" w:color="D8E3D9"/>
              <w:insideH w:val="single" w:sz="4" w:color="D8E3D9"/>
              <w:insideV w:val="single" w:sz="4" w:color="D8E3D9"/>
            </w:tcBorders>
            <w:shd w:fill="FFFFFF"/>
            <w:tcMar>
              <w:top w:w="80" w:type="dxa"/>
              <w:bottom w:w="80" w:type="dxa"/>
              <w:start w:w="120" w:type="dxa"/>
              <w:end w:w="120" w:type="dxa"/>
            </w:tcMar>
          </w:tcPr>
          <w:p>
            <w:pPr>
              <w:spacing w:before="0" w:after="0" w:line="276" w:lineRule="auto"/>
              <w:jc w:val="right"/>
            </w:pPr>
            <w:r>
              <w:rPr>
                <w:rFonts w:ascii="Calibri" w:hAnsi="Calibri" w:eastAsia="Calibri"/>
                <w:b/>
                <w:color w:val="234E2B"/>
                <w:sz w:val="18"/>
              </w:rPr>
              <w:t>350 000 FCFA</w:t>
            </w:r>
          </w:p>
        </w:tc>
      </w:tr>
      <w:tr>
        <w:trPr/>
        <w:tc>
          <w:tcPr>
            <w:tcW w:type="dxa" w:w="6600"/>
            <w:vAlign w:val="center"/>
            <w:tcBorders>
              <w:top w:val="single" w:sz="4" w:color="D8E3D9"/>
              <w:left w:val="single" w:sz="4" w:color="D8E3D9"/>
              <w:bottom w:val="single" w:sz="4" w:color="D8E3D9"/>
              <w:right w:val="single" w:sz="4" w:color="D8E3D9"/>
              <w:insideH w:val="single" w:sz="4" w:color="D8E3D9"/>
              <w:insideV w:val="single" w:sz="4" w:color="D8E3D9"/>
            </w:tcBorders>
            <w:shd w:fill="E6EFE7"/>
            <w:tcMar>
              <w:top w:w="80" w:type="dxa"/>
              <w:bottom w:w="80" w:type="dxa"/>
              <w:start w:w="120" w:type="dxa"/>
              <w:end w:w="120" w:type="dxa"/>
            </w:tcMar>
          </w:tcPr>
          <w:p>
            <w:pPr>
              <w:spacing w:before="0" w:after="0" w:line="276" w:lineRule="auto"/>
              <w:jc w:val="left"/>
            </w:pPr>
            <w:r>
              <w:rPr>
                <w:rFonts w:ascii="Calibri" w:hAnsi="Calibri" w:eastAsia="Calibri"/>
                <w:b/>
                <w:color w:val="234E2B"/>
                <w:sz w:val="18"/>
              </w:rPr>
              <w:t>TOTAL RÉCURRENT INDICATIF</w:t>
            </w:r>
          </w:p>
        </w:tc>
        <w:tc>
          <w:tcPr>
            <w:tcW w:type="dxa" w:w="2760"/>
            <w:vAlign w:val="center"/>
            <w:tcBorders>
              <w:top w:val="single" w:sz="4" w:color="D8E3D9"/>
              <w:left w:val="single" w:sz="4" w:color="D8E3D9"/>
              <w:bottom w:val="single" w:sz="4" w:color="D8E3D9"/>
              <w:right w:val="single" w:sz="4" w:color="D8E3D9"/>
              <w:insideH w:val="single" w:sz="4" w:color="D8E3D9"/>
              <w:insideV w:val="single" w:sz="4" w:color="D8E3D9"/>
            </w:tcBorders>
            <w:shd w:fill="E6EFE7"/>
            <w:tcMar>
              <w:top w:w="80" w:type="dxa"/>
              <w:bottom w:w="80" w:type="dxa"/>
              <w:start w:w="120" w:type="dxa"/>
              <w:end w:w="120" w:type="dxa"/>
            </w:tcMar>
          </w:tcPr>
          <w:p>
            <w:pPr>
              <w:spacing w:before="0" w:after="0" w:line="276" w:lineRule="auto"/>
              <w:jc w:val="right"/>
            </w:pPr>
            <w:r>
              <w:rPr>
                <w:rFonts w:ascii="Calibri" w:hAnsi="Calibri" w:eastAsia="Calibri"/>
                <w:b/>
                <w:color w:val="234E2B"/>
                <w:sz w:val="18"/>
              </w:rPr>
              <w:t>590 000 FCFA / mois</w:t>
            </w:r>
          </w:p>
        </w:tc>
      </w:tr>
    </w:tbl>
    <w:p>
      <w:pPr>
        <w:spacing w:after="40"/>
      </w:pPr>
    </w:p>
    <w:p>
      <w:pPr>
        <w:spacing w:after="160" w:line="320" w:lineRule="auto"/>
        <w:jc w:val="left"/>
        <w:keepLines/>
      </w:pPr>
      <w:r>
        <w:rPr>
          <w:rFonts w:ascii="Calibri" w:hAnsi="Calibri" w:eastAsia="Calibri"/>
          <w:i/>
          <w:color w:val="17251C"/>
          <w:sz w:val="22"/>
        </w:rPr>
        <w:t>Les SMS, WhatsApp, paiements en ligne, équipements de caisse, imprimantes, lecteurs et prestations évolutives seront facturés selon consommation ou devis.</w:t>
      </w:r>
    </w:p>
    <w:p>
      <w:pPr>
        <w:pStyle w:val="Heading1"/>
        <w:keepNext/>
      </w:pPr>
      <w:r>
        <w:t>9. Hypothèses, exclusions et conditions</w:t>
      </w:r>
    </w:p>
    <w:p>
      <w:pPr>
        <w:pStyle w:val="Heading2"/>
        <w:keepNext/>
      </w:pPr>
      <w:r>
        <w:t>9.1 Hypothèses structurantes</w:t>
      </w:r>
    </w:p>
    <w:p>
      <w:pPr>
        <w:spacing w:before="0" w:after="80" w:line="290" w:lineRule="auto"/>
        <w:jc w:val="left"/>
        <w:numPr>
          <w:ilvl w:val="0"/>
          <w:numId w:val="10"/>
        </w:numPr>
      </w:pPr>
      <w:r>
        <w:rPr>
          <w:rFonts w:ascii="Calibri" w:hAnsi="Calibri" w:eastAsia="Calibri"/>
          <w:color w:val="17251C"/>
          <w:sz w:val="22"/>
        </w:rPr>
        <w:t>Jusqu’à 50 utilisateurs nommés et 5 sites opérationnels dans le périmètre initial.</w:t>
      </w:r>
    </w:p>
    <w:p>
      <w:pPr>
        <w:spacing w:before="0" w:after="80" w:line="290" w:lineRule="auto"/>
        <w:jc w:val="left"/>
        <w:numPr>
          <w:ilvl w:val="0"/>
          <w:numId w:val="10"/>
        </w:numPr>
      </w:pPr>
      <w:r>
        <w:rPr>
          <w:rFonts w:ascii="Calibri" w:hAnsi="Calibri" w:eastAsia="Calibri"/>
          <w:color w:val="17251C"/>
          <w:sz w:val="22"/>
        </w:rPr>
        <w:t>Données sources fournies en fichiers Excel/CSV structurés, nettoyés et validés par le client.</w:t>
      </w:r>
    </w:p>
    <w:p>
      <w:pPr>
        <w:spacing w:before="0" w:after="80" w:line="290" w:lineRule="auto"/>
        <w:jc w:val="left"/>
        <w:numPr>
          <w:ilvl w:val="0"/>
          <w:numId w:val="10"/>
        </w:numPr>
      </w:pPr>
      <w:r>
        <w:rPr>
          <w:rFonts w:ascii="Calibri" w:hAnsi="Calibri" w:eastAsia="Calibri"/>
          <w:color w:val="17251C"/>
          <w:sz w:val="22"/>
        </w:rPr>
        <w:t>Un référent disponible par activité pour les ateliers, les validations et les tests.</w:t>
      </w:r>
    </w:p>
    <w:p>
      <w:pPr>
        <w:spacing w:before="0" w:after="80" w:line="290" w:lineRule="auto"/>
        <w:jc w:val="left"/>
        <w:numPr>
          <w:ilvl w:val="0"/>
          <w:numId w:val="10"/>
        </w:numPr>
      </w:pPr>
      <w:r>
        <w:rPr>
          <w:rFonts w:ascii="Calibri" w:hAnsi="Calibri" w:eastAsia="Calibri"/>
          <w:color w:val="17251C"/>
          <w:sz w:val="22"/>
        </w:rPr>
        <w:t>Interfaces tierces limitées aux API documentées et accessibles pendant le projet.</w:t>
      </w:r>
    </w:p>
    <w:p>
      <w:pPr>
        <w:spacing w:before="0" w:after="80" w:line="290" w:lineRule="auto"/>
        <w:jc w:val="left"/>
        <w:numPr>
          <w:ilvl w:val="0"/>
          <w:numId w:val="10"/>
        </w:numPr>
      </w:pPr>
      <w:r>
        <w:rPr>
          <w:rFonts w:ascii="Calibri" w:hAnsi="Calibri" w:eastAsia="Calibri"/>
          <w:color w:val="17251C"/>
          <w:sz w:val="22"/>
        </w:rPr>
        <w:t>Plan comptable, règles de gestion, modèles de documents et circuits de validation fournis par le client.</w:t>
      </w:r>
    </w:p>
    <w:p>
      <w:pPr>
        <w:spacing w:before="0" w:after="80" w:line="290" w:lineRule="auto"/>
        <w:jc w:val="left"/>
        <w:numPr>
          <w:ilvl w:val="0"/>
          <w:numId w:val="10"/>
        </w:numPr>
      </w:pPr>
      <w:r>
        <w:rPr>
          <w:rFonts w:ascii="Calibri" w:hAnsi="Calibri" w:eastAsia="Calibri"/>
          <w:color w:val="17251C"/>
          <w:sz w:val="22"/>
        </w:rPr>
        <w:t>Environnements de test et de production hébergés selon l’offre cloud retenue.</w:t>
      </w:r>
    </w:p>
    <w:p>
      <w:pPr>
        <w:pStyle w:val="Heading2"/>
        <w:keepNext/>
      </w:pPr>
      <w:r>
        <w:t>9.2 Éléments à confirmer au cadrage</w:t>
      </w:r>
    </w:p>
    <w:p>
      <w:pPr>
        <w:spacing w:before="0" w:after="80" w:line="290" w:lineRule="auto"/>
        <w:jc w:val="left"/>
        <w:numPr>
          <w:ilvl w:val="0"/>
          <w:numId w:val="10"/>
        </w:numPr>
      </w:pPr>
      <w:r>
        <w:rPr>
          <w:rFonts w:ascii="Calibri" w:hAnsi="Calibri" w:eastAsia="Calibri"/>
          <w:color w:val="17251C"/>
          <w:sz w:val="22"/>
        </w:rPr>
        <w:t>Nombre exact de sites, caisses, dépôts, salles, postes de lavage et terminaux.</w:t>
      </w:r>
    </w:p>
    <w:p>
      <w:pPr>
        <w:spacing w:before="0" w:after="80" w:line="290" w:lineRule="auto"/>
        <w:jc w:val="left"/>
        <w:numPr>
          <w:ilvl w:val="0"/>
          <w:numId w:val="10"/>
        </w:numPr>
      </w:pPr>
      <w:r>
        <w:rPr>
          <w:rFonts w:ascii="Calibri" w:hAnsi="Calibri" w:eastAsia="Calibri"/>
          <w:color w:val="17251C"/>
          <w:sz w:val="22"/>
        </w:rPr>
        <w:t>Périmètre comptable, fiscal et paie ainsi que les exigences réglementaires associées.</w:t>
      </w:r>
    </w:p>
    <w:p>
      <w:pPr>
        <w:spacing w:before="0" w:after="80" w:line="290" w:lineRule="auto"/>
        <w:jc w:val="left"/>
        <w:numPr>
          <w:ilvl w:val="0"/>
          <w:numId w:val="10"/>
        </w:numPr>
      </w:pPr>
      <w:r>
        <w:rPr>
          <w:rFonts w:ascii="Calibri" w:hAnsi="Calibri" w:eastAsia="Calibri"/>
          <w:color w:val="17251C"/>
          <w:sz w:val="22"/>
        </w:rPr>
        <w:t>Historique à migrer, volumétrie, qualité des données et règles de rapprochement.</w:t>
      </w:r>
    </w:p>
    <w:p>
      <w:pPr>
        <w:spacing w:before="0" w:after="80" w:line="290" w:lineRule="auto"/>
        <w:jc w:val="left"/>
        <w:numPr>
          <w:ilvl w:val="0"/>
          <w:numId w:val="10"/>
        </w:numPr>
      </w:pPr>
      <w:r>
        <w:rPr>
          <w:rFonts w:ascii="Calibri" w:hAnsi="Calibri" w:eastAsia="Calibri"/>
          <w:color w:val="17251C"/>
          <w:sz w:val="22"/>
        </w:rPr>
        <w:t>Matériel POS, imprimantes cuisine, lecteurs, terminaux mobiles et réseau local.</w:t>
      </w:r>
    </w:p>
    <w:p>
      <w:pPr>
        <w:spacing w:before="0" w:after="80" w:line="290" w:lineRule="auto"/>
        <w:jc w:val="left"/>
        <w:numPr>
          <w:ilvl w:val="0"/>
          <w:numId w:val="10"/>
        </w:numPr>
      </w:pPr>
      <w:r>
        <w:rPr>
          <w:rFonts w:ascii="Calibri" w:hAnsi="Calibri" w:eastAsia="Calibri"/>
          <w:color w:val="17251C"/>
          <w:sz w:val="22"/>
        </w:rPr>
        <w:t>Intégrations bancaires, mobile money, paiement en ligne, SMS, WhatsApp et services externes.</w:t>
      </w:r>
    </w:p>
    <w:p>
      <w:pPr>
        <w:spacing w:before="0" w:after="80" w:line="290" w:lineRule="auto"/>
        <w:jc w:val="left"/>
        <w:numPr>
          <w:ilvl w:val="0"/>
          <w:numId w:val="10"/>
        </w:numPr>
      </w:pPr>
      <w:r>
        <w:rPr>
          <w:rFonts w:ascii="Calibri" w:hAnsi="Calibri" w:eastAsia="Calibri"/>
          <w:color w:val="17251C"/>
          <w:sz w:val="22"/>
        </w:rPr>
        <w:t>Objectifs de disponibilité, reprise après incident et durée de conservation des données.</w:t>
      </w:r>
    </w:p>
    <w:p>
      <w:pPr>
        <w:pStyle w:val="Heading2"/>
        <w:keepNext/>
      </w:pPr>
      <w:r>
        <w:t>9.3 Exclusions indicatives</w:t>
      </w:r>
    </w:p>
    <w:p>
      <w:pPr>
        <w:spacing w:before="0" w:after="80" w:line="290" w:lineRule="auto"/>
        <w:jc w:val="left"/>
        <w:numPr>
          <w:ilvl w:val="0"/>
          <w:numId w:val="10"/>
        </w:numPr>
      </w:pPr>
      <w:r>
        <w:rPr>
          <w:rFonts w:ascii="Calibri" w:hAnsi="Calibri" w:eastAsia="Calibri"/>
          <w:color w:val="17251C"/>
          <w:sz w:val="22"/>
        </w:rPr>
        <w:t>Acquisition de matériels, câblage, terminaux, imprimantes et équipements réseaux.</w:t>
      </w:r>
    </w:p>
    <w:p>
      <w:pPr>
        <w:spacing w:before="0" w:after="80" w:line="290" w:lineRule="auto"/>
        <w:jc w:val="left"/>
        <w:numPr>
          <w:ilvl w:val="0"/>
          <w:numId w:val="10"/>
        </w:numPr>
      </w:pPr>
      <w:r>
        <w:rPr>
          <w:rFonts w:ascii="Calibri" w:hAnsi="Calibri" w:eastAsia="Calibri"/>
          <w:color w:val="17251C"/>
          <w:sz w:val="22"/>
        </w:rPr>
        <w:t>Licences ou abonnements de services tiers non expressément inclus.</w:t>
      </w:r>
    </w:p>
    <w:p>
      <w:pPr>
        <w:spacing w:before="0" w:after="80" w:line="290" w:lineRule="auto"/>
        <w:jc w:val="left"/>
        <w:numPr>
          <w:ilvl w:val="0"/>
          <w:numId w:val="10"/>
        </w:numPr>
      </w:pPr>
      <w:r>
        <w:rPr>
          <w:rFonts w:ascii="Calibri" w:hAnsi="Calibri" w:eastAsia="Calibri"/>
          <w:color w:val="17251C"/>
          <w:sz w:val="22"/>
        </w:rPr>
        <w:t>Nettoyage lourd ou reconstitution des données historiques non disponibles.</w:t>
      </w:r>
    </w:p>
    <w:p>
      <w:pPr>
        <w:spacing w:before="0" w:after="80" w:line="290" w:lineRule="auto"/>
        <w:jc w:val="left"/>
        <w:numPr>
          <w:ilvl w:val="0"/>
          <w:numId w:val="10"/>
        </w:numPr>
      </w:pPr>
      <w:r>
        <w:rPr>
          <w:rFonts w:ascii="Calibri" w:hAnsi="Calibri" w:eastAsia="Calibri"/>
          <w:color w:val="17251C"/>
          <w:sz w:val="22"/>
        </w:rPr>
        <w:t>Développements supplémentaires demandés après validation du périmètre, traités par avenant.</w:t>
      </w:r>
    </w:p>
    <w:p>
      <w:pPr>
        <w:spacing w:before="0" w:after="80" w:line="290" w:lineRule="auto"/>
        <w:jc w:val="left"/>
        <w:numPr>
          <w:ilvl w:val="0"/>
          <w:numId w:val="10"/>
        </w:numPr>
      </w:pPr>
      <w:r>
        <w:rPr>
          <w:rFonts w:ascii="Calibri" w:hAnsi="Calibri" w:eastAsia="Calibri"/>
          <w:color w:val="17251C"/>
          <w:sz w:val="22"/>
        </w:rPr>
        <w:t>Déplacements, hébergement et indemnités hors Abidjan, facturés après accord.</w:t>
      </w:r>
    </w:p>
    <w:p>
      <w:pPr>
        <w:pStyle w:val="Heading2"/>
        <w:keepNext/>
      </w:pPr>
      <w:r>
        <w:t>9.4 Conditions commerciales</w:t>
      </w:r>
    </w:p>
    <w:p>
      <w:pPr>
        <w:spacing w:before="0" w:after="80" w:line="290" w:lineRule="auto"/>
        <w:jc w:val="left"/>
        <w:numPr>
          <w:ilvl w:val="0"/>
          <w:numId w:val="10"/>
        </w:numPr>
      </w:pPr>
      <w:r>
        <w:rPr>
          <w:rFonts w:ascii="Calibri" w:hAnsi="Calibri" w:eastAsia="Calibri"/>
          <w:color w:val="17251C"/>
          <w:sz w:val="22"/>
        </w:rPr>
        <w:t>Validité de l’offre : 30 jours à compter du 16 juillet 2026.</w:t>
      </w:r>
    </w:p>
    <w:p>
      <w:pPr>
        <w:spacing w:before="0" w:after="80" w:line="290" w:lineRule="auto"/>
        <w:jc w:val="left"/>
        <w:numPr>
          <w:ilvl w:val="0"/>
          <w:numId w:val="10"/>
        </w:numPr>
      </w:pPr>
      <w:r>
        <w:rPr>
          <w:rFonts w:ascii="Calibri" w:hAnsi="Calibri" w:eastAsia="Calibri"/>
          <w:color w:val="17251C"/>
          <w:sz w:val="22"/>
        </w:rPr>
        <w:t>Démarrage prévisionnel : après signature, paiement de l’acompte et disponibilité des référents.</w:t>
      </w:r>
    </w:p>
    <w:p>
      <w:pPr>
        <w:spacing w:before="0" w:after="80" w:line="290" w:lineRule="auto"/>
        <w:jc w:val="left"/>
        <w:numPr>
          <w:ilvl w:val="0"/>
          <w:numId w:val="10"/>
        </w:numPr>
      </w:pPr>
      <w:r>
        <w:rPr>
          <w:rFonts w:ascii="Calibri" w:hAnsi="Calibri" w:eastAsia="Calibri"/>
          <w:color w:val="17251C"/>
          <w:sz w:val="22"/>
        </w:rPr>
        <w:t>Les délais sont conditionnés par la validation rapide des livrables et la disponibilité des données.</w:t>
      </w:r>
    </w:p>
    <w:p>
      <w:pPr>
        <w:spacing w:before="0" w:after="80" w:line="290" w:lineRule="auto"/>
        <w:jc w:val="left"/>
        <w:numPr>
          <w:ilvl w:val="0"/>
          <w:numId w:val="10"/>
        </w:numPr>
      </w:pPr>
      <w:r>
        <w:rPr>
          <w:rFonts w:ascii="Calibri" w:hAnsi="Calibri" w:eastAsia="Calibri"/>
          <w:color w:val="17251C"/>
          <w:sz w:val="22"/>
        </w:rPr>
        <w:t>Toute modification substantielle du périmètre, des interfaces ou de la volumétrie fera l’objet d’un avenant.</w:t>
      </w:r>
    </w:p>
    <w:p>
      <w:pPr>
        <w:pStyle w:val="Heading1"/>
        <w:keepNext/>
      </w:pPr>
      <w:r>
        <w:t>10. Prochaines étapes et bon pour accord</w:t>
      </w:r>
    </w:p>
    <w:p>
      <w:pPr>
        <w:spacing w:after="240" w:line="300" w:lineRule="auto"/>
        <w:keepLines/>
      </w:pPr>
      <w:r>
        <w:rPr>
          <w:rFonts w:ascii="Calibri" w:hAnsi="Calibri" w:eastAsia="Calibri"/>
          <w:i/>
          <w:color w:val="526159"/>
          <w:sz w:val="24"/>
        </w:rPr>
        <w:t>La validation du principe permet d’organiser l’atelier de cadrage, de confirmer les hypothèses et d’émettre l’offre contractuelle finale.</w:t>
      </w:r>
    </w:p>
    <w:p>
      <w:pPr>
        <w:spacing w:before="0" w:after="80" w:line="290" w:lineRule="auto"/>
        <w:jc w:val="left"/>
        <w:numPr>
          <w:ilvl w:val="0"/>
          <w:numId w:val="11"/>
        </w:numPr>
      </w:pPr>
      <w:r>
        <w:rPr>
          <w:rFonts w:ascii="Calibri" w:hAnsi="Calibri" w:eastAsia="Calibri"/>
          <w:b/>
          <w:color w:val="17251C"/>
          <w:sz w:val="22"/>
        </w:rPr>
        <w:t>Valider</w:t>
      </w:r>
      <w:r>
        <w:rPr>
          <w:rFonts w:ascii="Calibri" w:hAnsi="Calibri" w:eastAsia="Calibri"/>
          <w:color w:val="17251C"/>
          <w:sz w:val="22"/>
        </w:rPr>
        <w:t xml:space="preserve"> le principe et nommer le sponsor ainsi que le chef de projet client.</w:t>
      </w:r>
    </w:p>
    <w:p>
      <w:pPr>
        <w:spacing w:before="0" w:after="80" w:line="290" w:lineRule="auto"/>
        <w:jc w:val="left"/>
        <w:numPr>
          <w:ilvl w:val="0"/>
          <w:numId w:val="11"/>
        </w:numPr>
      </w:pPr>
      <w:r>
        <w:rPr>
          <w:rFonts w:ascii="Calibri" w:hAnsi="Calibri" w:eastAsia="Calibri"/>
          <w:b/>
          <w:color w:val="17251C"/>
          <w:sz w:val="22"/>
        </w:rPr>
        <w:t>Organiser</w:t>
      </w:r>
      <w:r>
        <w:rPr>
          <w:rFonts w:ascii="Calibri" w:hAnsi="Calibri" w:eastAsia="Calibri"/>
          <w:color w:val="17251C"/>
          <w:sz w:val="22"/>
        </w:rPr>
        <w:t xml:space="preserve"> un atelier de cadrage avec les responsables de chaque activité.</w:t>
      </w:r>
    </w:p>
    <w:p>
      <w:pPr>
        <w:spacing w:before="0" w:after="80" w:line="290" w:lineRule="auto"/>
        <w:jc w:val="left"/>
        <w:numPr>
          <w:ilvl w:val="0"/>
          <w:numId w:val="11"/>
        </w:numPr>
      </w:pPr>
      <w:r>
        <w:rPr>
          <w:rFonts w:ascii="Calibri" w:hAnsi="Calibri" w:eastAsia="Calibri"/>
          <w:b/>
          <w:color w:val="17251C"/>
          <w:sz w:val="22"/>
        </w:rPr>
        <w:t>Confirmer</w:t>
      </w:r>
      <w:r>
        <w:rPr>
          <w:rFonts w:ascii="Calibri" w:hAnsi="Calibri" w:eastAsia="Calibri"/>
          <w:color w:val="17251C"/>
          <w:sz w:val="22"/>
        </w:rPr>
        <w:t xml:space="preserve"> les utilisateurs, sites, volumes, matériels et intégrations.</w:t>
      </w:r>
    </w:p>
    <w:p>
      <w:pPr>
        <w:spacing w:before="0" w:after="80" w:line="290" w:lineRule="auto"/>
        <w:jc w:val="left"/>
        <w:numPr>
          <w:ilvl w:val="0"/>
          <w:numId w:val="11"/>
        </w:numPr>
      </w:pPr>
      <w:r>
        <w:rPr>
          <w:rFonts w:ascii="Calibri" w:hAnsi="Calibri" w:eastAsia="Calibri"/>
          <w:b/>
          <w:color w:val="17251C"/>
          <w:sz w:val="22"/>
        </w:rPr>
        <w:t>Finaliser</w:t>
      </w:r>
      <w:r>
        <w:rPr>
          <w:rFonts w:ascii="Calibri" w:hAnsi="Calibri" w:eastAsia="Calibri"/>
          <w:color w:val="17251C"/>
          <w:sz w:val="22"/>
        </w:rPr>
        <w:t xml:space="preserve"> le périmètre, le planning, le prix et les clauses contractuelles.</w:t>
      </w:r>
    </w:p>
    <w:p>
      <w:pPr>
        <w:spacing w:before="0" w:after="80" w:line="290" w:lineRule="auto"/>
        <w:jc w:val="left"/>
        <w:numPr>
          <w:ilvl w:val="0"/>
          <w:numId w:val="11"/>
        </w:numPr>
      </w:pPr>
      <w:r>
        <w:rPr>
          <w:rFonts w:ascii="Calibri" w:hAnsi="Calibri" w:eastAsia="Calibri"/>
          <w:b/>
          <w:color w:val="17251C"/>
          <w:sz w:val="22"/>
        </w:rPr>
        <w:t>Signer</w:t>
      </w:r>
      <w:r>
        <w:rPr>
          <w:rFonts w:ascii="Calibri" w:hAnsi="Calibri" w:eastAsia="Calibri"/>
          <w:color w:val="17251C"/>
          <w:sz w:val="22"/>
        </w:rPr>
        <w:t xml:space="preserve"> l’accord et lancer la phase de cadrage.</w:t>
      </w:r>
    </w:p>
    <w:p>
      <w:pPr>
        <w:spacing w:before="120" w:after="200" w:line="288" w:lineRule="auto"/>
        <w:ind w:left="202" w:right="115"/>
        <w:shd w:fill="EFF4DA"/>
        <w:pBdr>
          <w:left w:val="single" w:sz="18" w:space="10" w:color="397443"/>
        </w:pBdr>
        <w:keepLines/>
      </w:pPr>
      <w:r>
        <w:rPr>
          <w:rFonts w:ascii="Calibri" w:hAnsi="Calibri" w:eastAsia="Calibri"/>
          <w:b/>
          <w:color w:val="234E2B"/>
          <w:sz w:val="20"/>
        </w:rPr>
        <w:t xml:space="preserve">CONTACT OLIVE DANAROY  </w:t>
      </w:r>
      <w:r>
        <w:rPr>
          <w:rFonts w:ascii="Calibri" w:hAnsi="Calibri" w:eastAsia="Calibri"/>
          <w:b w:val="0"/>
          <w:color w:val="17251C"/>
          <w:sz w:val="21"/>
        </w:rPr>
        <w:t>E-mail : olivedanaroy@gmail.com  •  Téléphone : (+225) 07 77 99 99 48  •  Siège : Abidjan, Cocody, Angré Château.</w:t>
      </w:r>
    </w:p>
    <w:p>
      <w:pPr>
        <w:spacing w:after="160"/>
      </w:pPr>
    </w:p>
    <w:tbl>
      <w:tblPr>
        <w:tblW w:type="dxa" w:w="9360"/>
        <w:jc w:val="left"/>
        <w:tblLayout w:type="fixed"/>
        <w:tblLook w:firstColumn="1" w:firstRow="1" w:lastColumn="0" w:lastRow="0" w:noHBand="0" w:noVBand="1" w:val="04A0"/>
        <w:tblInd w:type="dxa" w:w="120"/>
      </w:tblPr>
      <w:tblGrid>
        <w:gridCol w:w="4680"/>
        <w:gridCol w:w="4680"/>
      </w:tblGrid>
      <w:tr>
        <w:trPr>
          <w:tblHeader w:val="true"/>
        </w:trPr>
        <w:tc>
          <w:tcPr>
            <w:tcW w:type="dxa" w:w="4680"/>
            <w:vAlign w:val="center"/>
            <w:tcBorders>
              <w:top w:val="single" w:sz="4" w:color="D8E3D9"/>
              <w:left w:val="single" w:sz="4" w:color="D8E3D9"/>
              <w:bottom w:val="single" w:sz="4" w:color="D8E3D9"/>
              <w:right w:val="single" w:sz="4" w:color="D8E3D9"/>
              <w:insideH w:val="single" w:sz="4" w:color="D8E3D9"/>
              <w:insideV w:val="single" w:sz="4" w:color="D8E3D9"/>
            </w:tcBorders>
            <w:shd w:fill="234E2B"/>
            <w:tcMar>
              <w:top w:w="80" w:type="dxa"/>
              <w:bottom w:w="80" w:type="dxa"/>
              <w:start w:w="120" w:type="dxa"/>
              <w:end w:w="120" w:type="dxa"/>
            </w:tcMar>
          </w:tcPr>
          <w:p>
            <w:pPr>
              <w:spacing w:before="0" w:after="0" w:line="276" w:lineRule="auto"/>
              <w:jc w:val="left"/>
            </w:pPr>
            <w:r>
              <w:rPr>
                <w:rFonts w:ascii="Calibri" w:hAnsi="Calibri" w:eastAsia="Calibri"/>
                <w:b/>
                <w:color w:val="FFFFFF"/>
                <w:sz w:val="18"/>
              </w:rPr>
              <w:t>POUR OLIVE DANAROY SARLU</w:t>
            </w:r>
          </w:p>
        </w:tc>
        <w:tc>
          <w:tcPr>
            <w:tcW w:type="dxa" w:w="4680"/>
            <w:vAlign w:val="center"/>
            <w:tcBorders>
              <w:top w:val="single" w:sz="4" w:color="D8E3D9"/>
              <w:left w:val="single" w:sz="4" w:color="D8E3D9"/>
              <w:bottom w:val="single" w:sz="4" w:color="D8E3D9"/>
              <w:right w:val="single" w:sz="4" w:color="D8E3D9"/>
              <w:insideH w:val="single" w:sz="4" w:color="D8E3D9"/>
              <w:insideV w:val="single" w:sz="4" w:color="D8E3D9"/>
            </w:tcBorders>
            <w:shd w:fill="234E2B"/>
            <w:tcMar>
              <w:top w:w="80" w:type="dxa"/>
              <w:bottom w:w="80" w:type="dxa"/>
              <w:start w:w="120" w:type="dxa"/>
              <w:end w:w="120" w:type="dxa"/>
            </w:tcMar>
          </w:tcPr>
          <w:p>
            <w:pPr>
              <w:spacing w:before="0" w:after="0" w:line="276" w:lineRule="auto"/>
              <w:jc w:val="left"/>
            </w:pPr>
            <w:r>
              <w:rPr>
                <w:rFonts w:ascii="Calibri" w:hAnsi="Calibri" w:eastAsia="Calibri"/>
                <w:b/>
                <w:color w:val="FFFFFF"/>
                <w:sz w:val="18"/>
              </w:rPr>
              <w:t>POUR LE PRESTATAIRE / INTÉGRATEUR</w:t>
            </w:r>
          </w:p>
        </w:tc>
      </w:tr>
      <w:tr>
        <w:trPr/>
        <w:tc>
          <w:tcPr>
            <w:tcW w:type="dxa" w:w="4680"/>
            <w:vAlign w:val="top"/>
            <w:tcBorders>
              <w:top w:val="single" w:sz="4" w:color="D8E3D9"/>
              <w:left w:val="single" w:sz="4" w:color="D8E3D9"/>
              <w:bottom w:val="single" w:sz="4" w:color="D8E3D9"/>
              <w:right w:val="single" w:sz="4" w:color="D8E3D9"/>
              <w:insideH w:val="single" w:sz="4" w:color="D8E3D9"/>
              <w:insideV w:val="single" w:sz="4" w:color="D8E3D9"/>
            </w:tcBorders>
            <w:shd w:fill="FFFFFF"/>
            <w:tcMar>
              <w:top w:w="80" w:type="dxa"/>
              <w:bottom w:w="80" w:type="dxa"/>
              <w:start w:w="120" w:type="dxa"/>
              <w:end w:w="120" w:type="dxa"/>
            </w:tcMar>
          </w:tcPr>
          <w:p>
            <w:pPr>
              <w:spacing w:before="0" w:after="0" w:line="276" w:lineRule="auto"/>
              <w:jc w:val="left"/>
            </w:pPr>
            <w:r>
              <w:rPr>
                <w:rFonts w:ascii="Calibri" w:hAnsi="Calibri" w:eastAsia="Calibri"/>
                <w:b w:val="0"/>
                <w:color w:val="17251C"/>
                <w:sz w:val="18"/>
              </w:rPr>
              <w:t>Nom et fonction :</w:t>
              <w:br/>
              <w:br/>
              <w:t>Date :</w:t>
              <w:br/>
              <w:br/>
              <w:t>Signature et cachet :</w:t>
              <w:br/>
              <w:br/>
              <w:br/>
            </w:r>
          </w:p>
        </w:tc>
        <w:tc>
          <w:tcPr>
            <w:tcW w:type="dxa" w:w="4680"/>
            <w:vAlign w:val="top"/>
            <w:tcBorders>
              <w:top w:val="single" w:sz="4" w:color="D8E3D9"/>
              <w:left w:val="single" w:sz="4" w:color="D8E3D9"/>
              <w:bottom w:val="single" w:sz="4" w:color="D8E3D9"/>
              <w:right w:val="single" w:sz="4" w:color="D8E3D9"/>
              <w:insideH w:val="single" w:sz="4" w:color="D8E3D9"/>
              <w:insideV w:val="single" w:sz="4" w:color="D8E3D9"/>
            </w:tcBorders>
            <w:shd w:fill="FFFFFF"/>
            <w:tcMar>
              <w:top w:w="80" w:type="dxa"/>
              <w:bottom w:w="80" w:type="dxa"/>
              <w:start w:w="120" w:type="dxa"/>
              <w:end w:w="120" w:type="dxa"/>
            </w:tcMar>
          </w:tcPr>
          <w:p>
            <w:pPr>
              <w:spacing w:before="0" w:after="0" w:line="276" w:lineRule="auto"/>
              <w:jc w:val="left"/>
            </w:pPr>
            <w:r>
              <w:rPr>
                <w:rFonts w:ascii="Calibri" w:hAnsi="Calibri" w:eastAsia="Calibri"/>
                <w:b w:val="0"/>
                <w:color w:val="17251C"/>
                <w:sz w:val="18"/>
              </w:rPr>
              <w:t>Nom et fonction :</w:t>
              <w:br/>
              <w:br/>
              <w:t>Date :</w:t>
              <w:br/>
              <w:br/>
              <w:t>Signature et cachet :</w:t>
              <w:br/>
              <w:br/>
              <w:br/>
            </w:r>
          </w:p>
        </w:tc>
      </w:tr>
    </w:tbl>
    <w:p>
      <w:pPr>
        <w:spacing w:after="40"/>
      </w:pPr>
    </w:p>
    <w:p>
      <w:pPr>
        <w:spacing w:after="0" w:line="320" w:lineRule="auto"/>
        <w:jc w:val="left"/>
        <w:keepLines/>
      </w:pPr>
      <w:r>
        <w:rPr>
          <w:rFonts w:ascii="Calibri" w:hAnsi="Calibri" w:eastAsia="Calibri"/>
          <w:i/>
          <w:color w:val="17251C"/>
          <w:sz w:val="22"/>
        </w:rPr>
        <w:t>La signature de cette page vaut accord de principe sur les orientations de l’offre. Le contrat final précisera les engagements, responsabilités, niveaux de service et conditions juridiques.</w:t>
      </w:r>
    </w:p>
    <w:sectPr w:rsidR="00FC693F" w:rsidRPr="0006063C" w:rsidSect="00034616">
      <w:headerReference w:type="default" r:id="rId11"/>
      <w:footerReference w:type="default" r:id="rId12"/>
      <w:pgSz w:w="12240" w:h="15840"/>
      <w:pgMar w:top="1440" w:right="1440" w:bottom="1440" w:left="1440" w:header="708" w:footer="708"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526159"/>
        <w:sz w:val="17"/>
      </w:rPr>
      <w:t xml:space="preserve">JUILLET 2026   •   </w:t>
    </w:r>
    <w:r>
      <w:rPr>
        <w:rFonts w:ascii="Calibri" w:hAnsi="Calibri" w:eastAsia="Calibri"/>
        <w:color w:val="526159"/>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234E2B"/>
        <w:sz w:val="17"/>
      </w:rPr>
      <w:t>OFFRE ERP  |  OLIVE DANAROY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80"/>
      </w:pPr>
      <w:rPr>
        <w:rFonts w:ascii="Calibri" w:hAnsi="Calibri"/>
        <w:color w:val="397443"/>
      </w:rPr>
    </w:lvl>
  </w:abstractNum>
  <w:num w:numId="10">
    <w:abstractNumId w:val="9"/>
  </w:num>
  <w:abstractNum w:abstractNumId="10">
    <w:multiLevelType w:val="singleLevel"/>
    <w:lvl w:ilvl="0">
      <w:start w:val="1"/>
      <w:numFmt w:val="decimal"/>
      <w:lvlText w:val="%1."/>
      <w:lvlJc w:val="left"/>
      <w:pPr>
        <w:tabs>
          <w:tab w:val="num" w:pos="540"/>
        </w:tabs>
        <w:ind w:left="540" w:hanging="280"/>
      </w:pPr>
      <w:rPr>
        <w:rFonts w:ascii="Calibri" w:hAnsi="Calibri"/>
        <w:color w:val="397443"/>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17251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200"/>
      <w:outlineLvl w:val="0"/>
    </w:pPr>
    <w:rPr>
      <w:rFonts w:asciiTheme="majorHAnsi" w:eastAsiaTheme="majorEastAsia" w:hAnsiTheme="majorHAnsi" w:cstheme="majorBidi" w:ascii="Calibri" w:hAnsi="Calibri"/>
      <w:b/>
      <w:bCs/>
      <w:color w:val="234E2B"/>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397443"/>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234E2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7251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jc w:val="center"/>
    </w:pPr>
    <w:rPr>
      <w:rFonts w:asciiTheme="majorHAnsi" w:eastAsiaTheme="majorEastAsia" w:hAnsiTheme="majorHAnsi" w:cstheme="majorBidi" w:ascii="Calibri" w:hAnsi="Calibri"/>
      <w:i/>
      <w:iCs/>
      <w:color w:val="52615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80"/>
    </w:pPr>
    <w:rPr>
      <w:rFonts w:ascii="Calibri" w:hAnsi="Calibri"/>
      <w:b/>
      <w:bCs/>
      <w:i/>
      <w:color w:val="52615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Offre technique et financière — ERP OLIVE DANAROY</dc:title>
  <dc:subject>Conception et déploiement d’un ERP de gestion intégré</dc:subject>
  <dc:creator>Proposition préparée pour OLIVE DANAROY SARLU</dc:creator>
  <cp:keywords>ERP, OLIVE DANAROY, BTP, restaurant, salles événementielles, lavage automobile</cp:keywords>
  <dc:description>Document de travail — juillet 2026</dc:description>
  <cp:lastModifiedBy/>
  <cp:revision>1</cp:revision>
  <dcterms:created xsi:type="dcterms:W3CDTF">2013-12-23T23:15:00Z</dcterms:created>
  <dcterms:modified xsi:type="dcterms:W3CDTF">2013-12-23T23:15:00Z</dcterms:modified>
  <cp:category/>
</cp:coreProperties>
</file>