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009E60"/>
          <w:sz w:val="36"/>
          <w:szCs w:val="36"/>
        </w:rPr>
        <w:t xml:space="preserve">AFRIQ CONSULTING</w:t>
      </w:r>
    </w:p>
    <w:p>
      <w:pPr>
        <w:spacing w:after="1200"/>
      </w:pPr>
      <w:r>
        <w:rPr>
          <w:i/>
          <w:iCs/>
          <w:color w:val="64748B"/>
          <w:sz w:val="18"/>
          <w:szCs w:val="18"/>
        </w:rPr>
        <w:t xml:space="preserve">Cabinet de conseil &amp; ingénierie logicielle — Côte d'Ivoire</w:t>
      </w:r>
    </w:p>
    <w:p>
      <w:pPr>
        <w:spacing w:after="200"/>
        <w:jc w:val="center"/>
      </w:pPr>
      <w:r>
        <w:rPr>
          <w:b/>
          <w:bCs/>
          <w:color w:val="0B1820"/>
          <w:sz w:val="56"/>
          <w:szCs w:val="56"/>
        </w:rPr>
        <w:t xml:space="preserve">OFFRE FINANCIÈRE</w:t>
      </w:r>
    </w:p>
    <w:p>
      <w:pPr>
        <w:spacing w:after="120"/>
        <w:jc w:val="center"/>
      </w:pPr>
      <w:r>
        <w:rPr>
          <w:b/>
          <w:bCs/>
          <w:color w:val="FF7F00"/>
          <w:sz w:val="32"/>
          <w:szCs w:val="32"/>
        </w:rPr>
        <w:t xml:space="preserve">EpiTrace — Plateforme nationale de veille épidémiologique</w:t>
      </w:r>
    </w:p>
    <w:p>
      <w:pPr>
        <w:spacing w:after="1600"/>
        <w:jc w:val="center"/>
      </w:pPr>
      <w:r>
        <w:rPr>
          <w:i/>
          <w:iCs/>
          <w:color w:val="64748B"/>
          <w:sz w:val="22"/>
          <w:szCs w:val="22"/>
        </w:rPr>
        <w:t xml:space="preserve">Surveillance des voyageurs aux points d'entrée — Maladie à Virus Ebola (MVE) &amp; multi-maladies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Destinataire</w:t>
            </w:r>
          </w:p>
        </w:tc>
        <w:tc>
          <w:tcPr>
            <w:tcW w:type="dxa" w:w="624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Ministère de la Santé, de l'Hygiène Publique et de la Couverture Maladie Universelle (MSHPCMU)
Institut National d'Hygiène Publique (INHP) — République de Côte d'Ivoire</w:t>
            </w:r>
          </w:p>
        </w:tc>
      </w:tr>
      <w:tr>
        <w:tc>
          <w:tcPr>
            <w:tcW w:type="dxa" w:w="312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Émetteur</w:t>
            </w:r>
          </w:p>
        </w:tc>
        <w:tc>
          <w:tcPr>
            <w:tcW w:type="dxa" w:w="624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Afriq Consulting — Abidjan, Côte d'Ivoire</w:t>
            </w:r>
          </w:p>
        </w:tc>
      </w:tr>
      <w:tr>
        <w:tc>
          <w:tcPr>
            <w:tcW w:type="dxa" w:w="312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Référence</w:t>
            </w:r>
          </w:p>
        </w:tc>
        <w:tc>
          <w:tcPr>
            <w:tcW w:type="dxa" w:w="624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AC-2026-INHP-EPITRACE-001</w:t>
            </w:r>
          </w:p>
        </w:tc>
      </w:tr>
      <w:tr>
        <w:tc>
          <w:tcPr>
            <w:tcW w:type="dxa" w:w="312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Date d'émission</w:t>
            </w:r>
          </w:p>
        </w:tc>
        <w:tc>
          <w:tcPr>
            <w:tcW w:type="dxa" w:w="624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22 mai 2026</w:t>
            </w:r>
          </w:p>
        </w:tc>
      </w:tr>
      <w:tr>
        <w:tc>
          <w:tcPr>
            <w:tcW w:type="dxa" w:w="312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Validité</w:t>
            </w:r>
          </w:p>
        </w:tc>
        <w:tc>
          <w:tcPr>
            <w:tcW w:type="dxa" w:w="624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90 jours à compter de la date d'émission</w:t>
            </w:r>
          </w:p>
        </w:tc>
      </w:tr>
      <w:tr>
        <w:tc>
          <w:tcPr>
            <w:tcW w:type="dxa" w:w="312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top"/>
          </w:tcPr>
          <w:p>
            <w:r>
              <w:rPr>
                <w:b/>
                <w:bCs/>
                <w:color w:val="FFFFFF"/>
                <w:sz w:val="20"/>
                <w:szCs w:val="20"/>
              </w:rPr>
              <w:t xml:space="preserve">Montant total TTC</w:t>
            </w:r>
          </w:p>
        </w:tc>
        <w:tc>
          <w:tcPr>
            <w:tcW w:type="dxa" w:w="624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color w:val="0B1820"/>
                <w:sz w:val="24"/>
                <w:szCs w:val="24"/>
              </w:rPr>
              <w:t xml:space="preserve">212 400 000 FCFA</w:t>
            </w:r>
          </w:p>
        </w:tc>
      </w:tr>
    </w:tbl>
    <w:p>
      <w:r>
        <w:br w:type="page"/>
      </w:r>
    </w:p>
    <w:p>
      <w:pPr>
        <w:pStyle w:val="Heading1"/>
        <w:spacing w:after="200" w:before="360"/>
      </w:pPr>
      <w:r>
        <w:t xml:space="preserve">Sommaire</w:t>
      </w:r>
    </w:p>
    <w:p>
      <w:pPr>
        <w:spacing w:after="120"/>
        <w:ind w:left="360"/>
      </w:pPr>
      <w:r>
        <w:rPr>
          <w:sz w:val="22"/>
          <w:szCs w:val="22"/>
        </w:rPr>
        <w:t xml:space="preserve">1. Préambule &amp; contexte</w:t>
      </w:r>
    </w:p>
    <w:p>
      <w:pPr>
        <w:spacing w:after="120"/>
        <w:ind w:left="360"/>
      </w:pPr>
      <w:r>
        <w:rPr>
          <w:sz w:val="22"/>
          <w:szCs w:val="22"/>
        </w:rPr>
        <w:t xml:space="preserve">2. Présentation d'Afriq Consulting</w:t>
      </w:r>
    </w:p>
    <w:p>
      <w:pPr>
        <w:spacing w:after="120"/>
        <w:ind w:left="360"/>
      </w:pPr>
      <w:r>
        <w:rPr>
          <w:sz w:val="22"/>
          <w:szCs w:val="22"/>
        </w:rPr>
        <w:t xml:space="preserve">3. Compréhension du besoin</w:t>
      </w:r>
    </w:p>
    <w:p>
      <w:pPr>
        <w:spacing w:after="120"/>
        <w:ind w:left="360"/>
      </w:pPr>
      <w:r>
        <w:rPr>
          <w:sz w:val="22"/>
          <w:szCs w:val="22"/>
        </w:rPr>
        <w:t xml:space="preserve">4. Solution proposée — Architecture EpiTrace</w:t>
      </w:r>
    </w:p>
    <w:p>
      <w:pPr>
        <w:spacing w:after="120"/>
        <w:ind w:left="360"/>
      </w:pPr>
      <w:r>
        <w:rPr>
          <w:sz w:val="22"/>
          <w:szCs w:val="22"/>
        </w:rPr>
        <w:t xml:space="preserve">5. Périmètre fonctionnel détaillé</w:t>
      </w:r>
    </w:p>
    <w:p>
      <w:pPr>
        <w:spacing w:after="120"/>
        <w:ind w:left="360"/>
      </w:pPr>
      <w:r>
        <w:rPr>
          <w:sz w:val="22"/>
          <w:szCs w:val="22"/>
        </w:rPr>
        <w:t xml:space="preserve">6. Méthodologie &amp; planning</w:t>
      </w:r>
    </w:p>
    <w:p>
      <w:pPr>
        <w:spacing w:after="120"/>
        <w:ind w:left="360"/>
      </w:pPr>
      <w:r>
        <w:rPr>
          <w:sz w:val="22"/>
          <w:szCs w:val="22"/>
        </w:rPr>
        <w:t xml:space="preserve">7. Équipe projet dédiée</w:t>
      </w:r>
    </w:p>
    <w:p>
      <w:pPr>
        <w:spacing w:after="120"/>
        <w:ind w:left="360"/>
      </w:pPr>
      <w:r>
        <w:rPr>
          <w:sz w:val="22"/>
          <w:szCs w:val="22"/>
        </w:rPr>
        <w:t xml:space="preserve">8. OFFRE FINANCIÈRE DÉTAILLÉE</w:t>
      </w:r>
    </w:p>
    <w:p>
      <w:pPr>
        <w:spacing w:after="120"/>
        <w:ind w:left="360"/>
      </w:pPr>
      <w:r>
        <w:rPr>
          <w:sz w:val="22"/>
          <w:szCs w:val="22"/>
        </w:rPr>
        <w:t xml:space="preserve">9. Modalités de paiement</w:t>
      </w:r>
    </w:p>
    <w:p>
      <w:pPr>
        <w:spacing w:after="120"/>
        <w:ind w:left="360"/>
      </w:pPr>
      <w:r>
        <w:rPr>
          <w:sz w:val="22"/>
          <w:szCs w:val="22"/>
        </w:rPr>
        <w:t xml:space="preserve">10. Conditions générales</w:t>
      </w:r>
    </w:p>
    <w:p>
      <w:pPr>
        <w:spacing w:after="120"/>
        <w:ind w:left="360"/>
      </w:pPr>
      <w:r>
        <w:rPr>
          <w:sz w:val="22"/>
          <w:szCs w:val="22"/>
        </w:rPr>
        <w:t xml:space="preserve">11. Validité de l'offre &amp; signature</w:t>
      </w:r>
    </w:p>
    <w:p>
      <w:r>
        <w:br w:type="page"/>
      </w:r>
    </w:p>
    <w:p>
      <w:pPr>
        <w:pStyle w:val="Heading1"/>
        <w:spacing w:after="200" w:before="360"/>
      </w:pPr>
      <w:r>
        <w:t xml:space="preserve">1. Préambule &amp; contexte</w:t>
      </w:r>
    </w:p>
    <w:p>
      <w:pPr>
        <w:spacing w:after="100"/>
      </w:pPr>
      <w:r>
        <w:t xml:space="preserve">À la suite de la résurgence de la Maladie à Virus Ebola (MVE) en République Démocratique du Congo en 2026, les autorités sanitaires de la République de Côte d'Ivoire ont renforcé leur dispositif de veille épidémiologique aux points d'entrée du territoire national (aéroports, ports maritimes, frontières terrestres).</w:t>
      </w:r>
    </w:p>
    <w:p>
      <w:pPr>
        <w:spacing w:after="100"/>
      </w:pPr>
      <w:r>
        <w:t xml:space="preserve">Cette offre répond au besoin exprimé par le MSHPCMU et l'INHP de disposer d'un système d'information national, sécurisé et conforme RGPD, permettant :</w:t>
      </w:r>
    </w:p>
    <w:p>
      <w:pPr>
        <w:pStyle w:val="ListParagraph"/>
        <w:numPr>
          <w:ilvl w:val="0"/>
          <w:numId w:val="2"/>
        </w:numPr>
        <w:spacing w:after="60"/>
      </w:pPr>
      <w:r>
        <w:t xml:space="preserve">L'enregistrement systématique de chaque voyageur entrant sur le territoire</w:t>
      </w:r>
    </w:p>
    <w:p>
      <w:pPr>
        <w:pStyle w:val="ListParagraph"/>
        <w:numPr>
          <w:ilvl w:val="0"/>
          <w:numId w:val="2"/>
        </w:numPr>
        <w:spacing w:after="60"/>
      </w:pPr>
      <w:r>
        <w:t xml:space="preserve">L'évaluation automatique du niveau de risque épidémiologique</w:t>
      </w:r>
    </w:p>
    <w:p>
      <w:pPr>
        <w:pStyle w:val="ListParagraph"/>
        <w:numPr>
          <w:ilvl w:val="0"/>
          <w:numId w:val="2"/>
        </w:numPr>
        <w:spacing w:after="60"/>
      </w:pPr>
      <w:r>
        <w:t xml:space="preserve">Le suivi sanitaire de 21 jours post-arrivée (auto-déclaration quotidienne)</w:t>
      </w:r>
    </w:p>
    <w:p>
      <w:pPr>
        <w:pStyle w:val="ListParagraph"/>
        <w:numPr>
          <w:ilvl w:val="0"/>
          <w:numId w:val="2"/>
        </w:numPr>
        <w:spacing w:after="60"/>
      </w:pPr>
      <w:r>
        <w:t xml:space="preserve">La géolocalisation consentie des voyageurs à risque élevé</w:t>
      </w:r>
    </w:p>
    <w:p>
      <w:pPr>
        <w:pStyle w:val="ListParagraph"/>
        <w:numPr>
          <w:ilvl w:val="0"/>
          <w:numId w:val="2"/>
        </w:numPr>
        <w:spacing w:after="60"/>
      </w:pPr>
      <w:r>
        <w:t xml:space="preserve">La délivrance d'un pass sanitaire signé cryptographiquement</w:t>
      </w:r>
    </w:p>
    <w:p>
      <w:pPr>
        <w:pStyle w:val="ListParagraph"/>
        <w:numPr>
          <w:ilvl w:val="0"/>
          <w:numId w:val="2"/>
        </w:numPr>
        <w:spacing w:after="60"/>
      </w:pPr>
      <w:r>
        <w:t xml:space="preserve">La coordination temps réel entre INHP, districts sanitaires et agents de terrain</w:t>
      </w:r>
    </w:p>
    <w:p>
      <w:pPr>
        <w:spacing w:after="200" w:before="200"/>
      </w:pPr>
      <w:r>
        <w:t xml:space="preserve">EpiTrace est une plateforme conçue spécifiquement pour ce besoin, alignée strictement sur la fiche officielle INHP « FICHE PASSAGER EBOLA RDC 2026 » et intégrant un moteur multi-maladies extensible (COVID-19, Marburg, Choléra, etc.).</w:t>
      </w:r>
    </w:p>
    <w:p>
      <w:pPr>
        <w:pStyle w:val="Heading1"/>
        <w:spacing w:after="200" w:before="360"/>
      </w:pPr>
      <w:r>
        <w:t xml:space="preserve">2. Présentation d'Afriq Consulting</w:t>
      </w:r>
    </w:p>
    <w:p>
      <w:pPr>
        <w:spacing w:after="100"/>
      </w:pPr>
      <w:r>
        <w:t xml:space="preserve">Afriq Consulting est un cabinet ivoirien spécialisé dans la conception et l'ingénierie de systèmes d'information à fort enjeu réglementaire et sanitaire. Notre expertise couvre :</w:t>
      </w:r>
    </w:p>
    <w:p>
      <w:pPr>
        <w:pStyle w:val="ListParagraph"/>
        <w:numPr>
          <w:ilvl w:val="0"/>
          <w:numId w:val="2"/>
        </w:numPr>
        <w:spacing w:after="60"/>
      </w:pPr>
      <w:r>
        <w:t xml:space="preserve">Architecture logicielle sécurisée (chiffrement bout-en-bout, signatures cryptographiques)</w:t>
      </w:r>
    </w:p>
    <w:p>
      <w:pPr>
        <w:pStyle w:val="ListParagraph"/>
        <w:numPr>
          <w:ilvl w:val="0"/>
          <w:numId w:val="2"/>
        </w:numPr>
        <w:spacing w:after="60"/>
      </w:pPr>
      <w:r>
        <w:t xml:space="preserve">Développement Django / DRF / Celery / PostgreSQL-PostGIS (12+ ans d'expérience cumulée)</w:t>
      </w:r>
    </w:p>
    <w:p>
      <w:pPr>
        <w:pStyle w:val="ListParagraph"/>
        <w:numPr>
          <w:ilvl w:val="0"/>
          <w:numId w:val="2"/>
        </w:numPr>
        <w:spacing w:after="60"/>
      </w:pPr>
      <w:r>
        <w:t xml:space="preserve">Frontend Next.js 14 / TypeScript / Progressive Web Apps</w:t>
      </w:r>
    </w:p>
    <w:p>
      <w:pPr>
        <w:pStyle w:val="ListParagraph"/>
        <w:numPr>
          <w:ilvl w:val="0"/>
          <w:numId w:val="2"/>
        </w:numPr>
        <w:spacing w:after="60"/>
      </w:pPr>
      <w:r>
        <w:t xml:space="preserve">Conformité réglementaire (RGPD, lois ivoiriennes sur la protection des données)</w:t>
      </w:r>
    </w:p>
    <w:p>
      <w:pPr>
        <w:pStyle w:val="ListParagraph"/>
        <w:numPr>
          <w:ilvl w:val="0"/>
          <w:numId w:val="2"/>
        </w:numPr>
        <w:spacing w:after="60"/>
      </w:pPr>
      <w:r>
        <w:t xml:space="preserve">DevOps &amp; infrastructure haute disponibilité (Docker, Traefik, Prometheus)</w:t>
      </w:r>
    </w:p>
    <w:p>
      <w:pPr>
        <w:pStyle w:val="ListParagraph"/>
        <w:numPr>
          <w:ilvl w:val="0"/>
          <w:numId w:val="2"/>
        </w:numPr>
        <w:spacing w:after="60"/>
      </w:pPr>
      <w:r>
        <w:t xml:space="preserve">Accompagnement institutionnel (formation, support, transfert de compétences)</w:t>
      </w:r>
    </w:p>
    <w:p>
      <w:pPr>
        <w:spacing w:after="100"/>
      </w:pPr>
      <w:r>
        <w:t xml:space="preserve">Notre cabinet a déjà accompagné plusieurs projets de transformation numérique dans le secteur de la santé en Afrique de l'Ouest. Toutes nos prestations sont régies par un engagement contractuel ferme sur les délais, la qualité et la disponibilité du service.</w:t>
      </w:r>
    </w:p>
    <w:p>
      <w:r>
        <w:br w:type="page"/>
      </w:r>
    </w:p>
    <w:p>
      <w:pPr>
        <w:pStyle w:val="Heading1"/>
        <w:spacing w:after="200" w:before="360"/>
      </w:pPr>
      <w:r>
        <w:t xml:space="preserve">3. Compréhension du besoin</w:t>
      </w:r>
    </w:p>
    <w:p>
      <w:pPr>
        <w:spacing w:after="100"/>
      </w:pPr>
      <w:r>
        <w:t xml:space="preserve">L'analyse des enjeux opérationnels de l'INHP a identifié cinq exigences structurantes pour EpiTrace :</w:t>
      </w:r>
    </w:p>
    <w:p>
      <w:pPr>
        <w:pStyle w:val="Heading3"/>
        <w:spacing w:after="100" w:before="200"/>
      </w:pPr>
      <w:r>
        <w:t xml:space="preserve">3.1 Exigences fonctionnelles</w:t>
      </w:r>
    </w:p>
    <w:p>
      <w:pPr>
        <w:pStyle w:val="ListParagraph"/>
        <w:numPr>
          <w:ilvl w:val="0"/>
          <w:numId w:val="2"/>
        </w:numPr>
        <w:spacing w:after="60"/>
      </w:pPr>
      <w:r>
        <w:t xml:space="preserve">Enregistrement strict de la fiche INHP officielle (7 sections, conformes au DOCX validé)</w:t>
      </w:r>
    </w:p>
    <w:p>
      <w:pPr>
        <w:pStyle w:val="ListParagraph"/>
        <w:numPr>
          <w:ilvl w:val="0"/>
          <w:numId w:val="2"/>
        </w:numPr>
        <w:spacing w:after="60"/>
      </w:pPr>
      <w:r>
        <w:t xml:space="preserve">Pass sanitaire infalsifiable (signature Ed25519, vérifiable hors-ligne via QR code)</w:t>
      </w:r>
    </w:p>
    <w:p>
      <w:pPr>
        <w:pStyle w:val="ListParagraph"/>
        <w:numPr>
          <w:ilvl w:val="0"/>
          <w:numId w:val="2"/>
        </w:numPr>
        <w:spacing w:after="60"/>
      </w:pPr>
      <w:r>
        <w:t xml:space="preserve">Suivi 21 jours avec auto-déclaration via PWA (sans installation d'app)</w:t>
      </w:r>
    </w:p>
    <w:p>
      <w:pPr>
        <w:pStyle w:val="ListParagraph"/>
        <w:numPr>
          <w:ilvl w:val="0"/>
          <w:numId w:val="2"/>
        </w:numPr>
        <w:spacing w:after="60"/>
      </w:pPr>
      <w:r>
        <w:t xml:space="preserve">Notifications push, SMS, WhatsApp (fallback multi-canal)</w:t>
      </w:r>
    </w:p>
    <w:p>
      <w:pPr>
        <w:pStyle w:val="ListParagraph"/>
        <w:numPr>
          <w:ilvl w:val="0"/>
          <w:numId w:val="2"/>
        </w:numPr>
        <w:spacing w:after="60"/>
      </w:pPr>
      <w:r>
        <w:t xml:space="preserve">Cartographie nationale temps réel des flux et alertes</w:t>
      </w:r>
    </w:p>
    <w:p>
      <w:pPr>
        <w:pStyle w:val="Heading3"/>
        <w:spacing w:after="100" w:before="200"/>
      </w:pPr>
      <w:r>
        <w:t xml:space="preserve">3.2 Exigences non-fonctionnelles</w:t>
      </w:r>
    </w:p>
    <w:p>
      <w:pPr>
        <w:pStyle w:val="ListParagraph"/>
        <w:numPr>
          <w:ilvl w:val="0"/>
          <w:numId w:val="2"/>
        </w:numPr>
        <w:spacing w:after="60"/>
      </w:pPr>
      <w:r>
        <w:t xml:space="preserve">Disponibilité 99,5% sur l'année (downtime ≤ 44 heures cumulées)</w:t>
      </w:r>
    </w:p>
    <w:p>
      <w:pPr>
        <w:pStyle w:val="ListParagraph"/>
        <w:numPr>
          <w:ilvl w:val="0"/>
          <w:numId w:val="2"/>
        </w:numPr>
        <w:spacing w:after="60"/>
      </w:pPr>
      <w:r>
        <w:t xml:space="preserve">Temps de réponse &lt; 800 ms sur les opérations critiques (P95)</w:t>
      </w:r>
    </w:p>
    <w:p>
      <w:pPr>
        <w:pStyle w:val="ListParagraph"/>
        <w:numPr>
          <w:ilvl w:val="0"/>
          <w:numId w:val="2"/>
        </w:numPr>
        <w:spacing w:after="60"/>
      </w:pPr>
      <w:r>
        <w:t xml:space="preserve">Capacité 50 000 voyageurs / mois sans dégradation</w:t>
      </w:r>
    </w:p>
    <w:p>
      <w:pPr>
        <w:pStyle w:val="ListParagraph"/>
        <w:numPr>
          <w:ilvl w:val="0"/>
          <w:numId w:val="2"/>
        </w:numPr>
        <w:spacing w:after="60"/>
      </w:pPr>
      <w:r>
        <w:t xml:space="preserve">Conformité RGPD intégrale (chiffrement at-rest, audit log, droit à l'oubli)</w:t>
      </w:r>
    </w:p>
    <w:p>
      <w:pPr>
        <w:pStyle w:val="ListParagraph"/>
        <w:numPr>
          <w:ilvl w:val="0"/>
          <w:numId w:val="2"/>
        </w:numPr>
        <w:spacing w:after="60"/>
      </w:pPr>
      <w:r>
        <w:t xml:space="preserve">Sauvegardes quotidiennes chiffrées avec réplication géographique</w:t>
      </w:r>
    </w:p>
    <w:p>
      <w:pPr>
        <w:pStyle w:val="Heading3"/>
        <w:spacing w:after="100" w:before="200"/>
      </w:pPr>
      <w:r>
        <w:t xml:space="preserve">3.3 Exigences institutionnelles</w:t>
      </w:r>
    </w:p>
    <w:p>
      <w:pPr>
        <w:pStyle w:val="ListParagraph"/>
        <w:numPr>
          <w:ilvl w:val="0"/>
          <w:numId w:val="2"/>
        </w:numPr>
        <w:spacing w:after="60"/>
      </w:pPr>
      <w:r>
        <w:t xml:space="preserve">Identité visuelle stricte : tricolore CI vert / blanc / orange, logos MSHPCMU &amp; INHP</w:t>
      </w:r>
    </w:p>
    <w:p>
      <w:pPr>
        <w:pStyle w:val="ListParagraph"/>
        <w:numPr>
          <w:ilvl w:val="0"/>
          <w:numId w:val="2"/>
        </w:numPr>
        <w:spacing w:after="60"/>
      </w:pPr>
      <w:r>
        <w:t xml:space="preserve">Domaines officiels : destinationci.com (public), admin.veillesanitaire.com (administration)</w:t>
      </w:r>
    </w:p>
    <w:p>
      <w:pPr>
        <w:pStyle w:val="ListParagraph"/>
        <w:numPr>
          <w:ilvl w:val="0"/>
          <w:numId w:val="2"/>
        </w:numPr>
        <w:spacing w:after="60"/>
      </w:pPr>
      <w:r>
        <w:t xml:space="preserve">Documentation technique en français livrable à l'INHP</w:t>
      </w:r>
    </w:p>
    <w:p>
      <w:pPr>
        <w:pStyle w:val="ListParagraph"/>
        <w:numPr>
          <w:ilvl w:val="0"/>
          <w:numId w:val="2"/>
        </w:numPr>
        <w:spacing w:after="60"/>
      </w:pPr>
      <w:r>
        <w:t xml:space="preserve">Transfert de compétences aux équipes INHP en fin de prestation</w:t>
      </w:r>
    </w:p>
    <w:p>
      <w:r>
        <w:br w:type="page"/>
      </w:r>
    </w:p>
    <w:p>
      <w:pPr>
        <w:pStyle w:val="Heading1"/>
        <w:spacing w:after="200" w:before="360"/>
      </w:pPr>
      <w:r>
        <w:t xml:space="preserve">4. Solution proposée — Architecture EpiTrace</w:t>
      </w:r>
    </w:p>
    <w:p>
      <w:pPr>
        <w:spacing w:after="100"/>
      </w:pPr>
      <w:r>
        <w:t xml:space="preserve">EpiTrace repose sur une architecture modulaire 3-tiers, orchestrée par Docker Compose et exposée via Traefik (TLS Let's Encrypt automatique). Les composants principaux :</w:t>
      </w:r>
    </w:p>
    <w:p>
      <w:pPr>
        <w:pStyle w:val="Heading3"/>
        <w:spacing w:after="100" w:before="200"/>
      </w:pPr>
      <w:r>
        <w:t xml:space="preserve">4.1 Backend Django</w:t>
      </w:r>
    </w:p>
    <w:p>
      <w:pPr>
        <w:spacing w:after="100"/>
      </w:pPr>
      <w:r>
        <w:t xml:space="preserve">API REST conforme OpenAPI 3, RBAC granulaire 10 rôles, JWT + MFA TOTP, workers asynchrones Celery, WebSocket Channels pour le temps réel. Base PostgreSQL avec extension PostGIS pour la cartographie.</w:t>
      </w:r>
    </w:p>
    <w:p>
      <w:pPr>
        <w:pStyle w:val="Heading3"/>
        <w:spacing w:after="100" w:before="200"/>
      </w:pPr>
      <w:r>
        <w:t xml:space="preserve">4.2 Frontend Next.js 14</w:t>
      </w:r>
    </w:p>
    <w:p>
      <w:pPr>
        <w:spacing w:after="100"/>
      </w:pPr>
      <w:r>
        <w:t xml:space="preserve">Deux portails distincts : public (destinationci.com) pour l'enregistrement voyageur et le suivi 21j en PWA, et administration (admin.veillesanitaire.com) pour les agents INHP, MSHPCMU, districts et points d'entrée. SSR pour le SEO, lazy-loading pour la performance.</w:t>
      </w:r>
    </w:p>
    <w:p>
      <w:pPr>
        <w:pStyle w:val="Heading3"/>
        <w:spacing w:after="100" w:before="200"/>
      </w:pPr>
      <w:r>
        <w:t xml:space="preserve">4.3 Infrastructure</w:t>
      </w:r>
    </w:p>
    <w:p>
      <w:pPr>
        <w:spacing w:after="100"/>
      </w:pPr>
      <w:r>
        <w:t xml:space="preserve">Stack monitoring complète : Prometheus pour les métriques, Grafana pour la visualisation, Loki + Promtail pour la centralisation des logs. Sauvegardes automatiques chiffrées et répliquées off-site quotidiennement.</w:t>
      </w:r>
    </w:p>
    <w:p>
      <w:pPr>
        <w:pStyle w:val="Heading3"/>
        <w:spacing w:after="100" w:before="200"/>
      </w:pPr>
      <w:r>
        <w:t xml:space="preserve">4.4 Sécurité &amp; conformité</w:t>
      </w:r>
    </w:p>
    <w:p>
      <w:pPr>
        <w:spacing w:after="100"/>
      </w:pPr>
      <w:r>
        <w:t xml:space="preserve">Toutes les données PII sont chiffrées at-rest via django-cryptography. Les pass sanitaires sont signés avec une clé Ed25519 stockée hors application. La politique de rétention RGPD est automatisée (purge anonymisée au-delà de 90 jours après clôture du suivi). Audit log complet de toutes les opérations sensibles.</w:t>
      </w:r>
    </w:p>
    <w:p>
      <w:r>
        <w:br w:type="page"/>
      </w:r>
    </w:p>
    <w:p>
      <w:pPr>
        <w:pStyle w:val="Heading1"/>
        <w:spacing w:after="200" w:before="360"/>
      </w:pPr>
      <w:r>
        <w:t xml:space="preserve">5. Périmètre fonctionnel détaillé</w:t>
      </w:r>
    </w:p>
    <w:p>
      <w:pPr>
        <w:pStyle w:val="Heading2"/>
        <w:spacing w:after="140" w:before="280"/>
      </w:pPr>
      <w:r>
        <w:t xml:space="preserve">5.1 Portail public voyageur</w:t>
      </w:r>
    </w:p>
    <w:p>
      <w:pPr>
        <w:pStyle w:val="ListParagraph"/>
        <w:numPr>
          <w:ilvl w:val="0"/>
          <w:numId w:val="2"/>
        </w:numPr>
        <w:spacing w:after="60"/>
      </w:pPr>
      <w:r>
        <w:t xml:space="preserve">Landing page institutionnelle aux couleurs CI</w:t>
      </w:r>
    </w:p>
    <w:p>
      <w:pPr>
        <w:pStyle w:val="ListParagraph"/>
        <w:numPr>
          <w:ilvl w:val="0"/>
          <w:numId w:val="2"/>
        </w:numPr>
        <w:spacing w:after="60"/>
      </w:pPr>
      <w:r>
        <w:t xml:space="preserve">Formulaire d'enregistrement 6 sections (fiche INHP officielle)</w:t>
      </w:r>
    </w:p>
    <w:p>
      <w:pPr>
        <w:pStyle w:val="ListParagraph"/>
        <w:numPr>
          <w:ilvl w:val="0"/>
          <w:numId w:val="2"/>
        </w:numPr>
        <w:spacing w:after="60"/>
      </w:pPr>
      <w:r>
        <w:t xml:space="preserve">Upload du document de voyage (passeport, CNI, titre de séjour)</w:t>
      </w:r>
    </w:p>
    <w:p>
      <w:pPr>
        <w:pStyle w:val="ListParagraph"/>
        <w:numPr>
          <w:ilvl w:val="0"/>
          <w:numId w:val="2"/>
        </w:numPr>
        <w:spacing w:after="60"/>
      </w:pPr>
      <w:r>
        <w:t xml:space="preserve">Génération immédiate du Pass Sanitaire (QR signé + PDF)</w:t>
      </w:r>
    </w:p>
    <w:p>
      <w:pPr>
        <w:pStyle w:val="ListParagraph"/>
        <w:numPr>
          <w:ilvl w:val="0"/>
          <w:numId w:val="2"/>
        </w:numPr>
        <w:spacing w:after="60"/>
      </w:pPr>
      <w:r>
        <w:t xml:space="preserve">Téléchargement de la fiche officielle INHP pré-remplie</w:t>
      </w:r>
    </w:p>
    <w:p>
      <w:pPr>
        <w:pStyle w:val="ListParagraph"/>
        <w:numPr>
          <w:ilvl w:val="0"/>
          <w:numId w:val="2"/>
        </w:numPr>
        <w:spacing w:after="60"/>
      </w:pPr>
      <w:r>
        <w:t xml:space="preserve">Scanner QR (vérification cryptographique côté agent)</w:t>
      </w:r>
    </w:p>
    <w:p>
      <w:pPr>
        <w:pStyle w:val="ListParagraph"/>
        <w:numPr>
          <w:ilvl w:val="0"/>
          <w:numId w:val="2"/>
        </w:numPr>
        <w:spacing w:after="60"/>
      </w:pPr>
      <w:r>
        <w:t xml:space="preserve">Suivi 21 jours en PWA installable</w:t>
      </w:r>
    </w:p>
    <w:p>
      <w:pPr>
        <w:pStyle w:val="ListParagraph"/>
        <w:numPr>
          <w:ilvl w:val="0"/>
          <w:numId w:val="2"/>
        </w:numPr>
        <w:spacing w:after="60"/>
      </w:pPr>
      <w:r>
        <w:t xml:space="preserve">Auto-déclaration quotidienne (symptômes, état général)</w:t>
      </w:r>
    </w:p>
    <w:p>
      <w:pPr>
        <w:pStyle w:val="ListParagraph"/>
        <w:numPr>
          <w:ilvl w:val="0"/>
          <w:numId w:val="2"/>
        </w:numPr>
        <w:spacing w:after="60"/>
      </w:pPr>
      <w:r>
        <w:t xml:space="preserve">Géolocalisation consentie (avec consentement explicite RGPD)</w:t>
      </w:r>
    </w:p>
    <w:p>
      <w:pPr>
        <w:pStyle w:val="ListParagraph"/>
        <w:numPr>
          <w:ilvl w:val="0"/>
          <w:numId w:val="2"/>
        </w:numPr>
        <w:spacing w:after="60"/>
      </w:pPr>
      <w:r>
        <w:t xml:space="preserve">Notifications push (rappels quotidiens, alertes)</w:t>
      </w:r>
    </w:p>
    <w:p>
      <w:pPr>
        <w:pStyle w:val="ListParagraph"/>
        <w:numPr>
          <w:ilvl w:val="0"/>
          <w:numId w:val="2"/>
        </w:numPr>
        <w:spacing w:after="60"/>
      </w:pPr>
      <w:r>
        <w:t xml:space="preserve">Module RGPD self-service (consultation, export, suppression)</w:t>
      </w:r>
    </w:p>
    <w:p>
      <w:pPr>
        <w:pStyle w:val="Heading2"/>
        <w:spacing w:after="140" w:before="280"/>
      </w:pPr>
      <w:r>
        <w:t xml:space="preserve">5.2 Portail administration</w:t>
      </w:r>
    </w:p>
    <w:p>
      <w:pPr>
        <w:pStyle w:val="ListParagraph"/>
        <w:numPr>
          <w:ilvl w:val="0"/>
          <w:numId w:val="2"/>
        </w:numPr>
        <w:spacing w:after="60"/>
      </w:pPr>
      <w:r>
        <w:t xml:space="preserve">Dashboard national avec KPIs animés (15 indicateurs clés)</w:t>
      </w:r>
    </w:p>
    <w:p>
      <w:pPr>
        <w:pStyle w:val="ListParagraph"/>
        <w:numPr>
          <w:ilvl w:val="0"/>
          <w:numId w:val="2"/>
        </w:numPr>
        <w:spacing w:after="60"/>
      </w:pPr>
      <w:r>
        <w:t xml:space="preserve">Cartographie interactive (Leaflet + heatmap GIS)</w:t>
      </w:r>
    </w:p>
    <w:p>
      <w:pPr>
        <w:pStyle w:val="ListParagraph"/>
        <w:numPr>
          <w:ilvl w:val="0"/>
          <w:numId w:val="2"/>
        </w:numPr>
        <w:spacing w:after="60"/>
      </w:pPr>
      <w:r>
        <w:t xml:space="preserve">Suivi temps réel des voyageurs accompagnés</w:t>
      </w:r>
    </w:p>
    <w:p>
      <w:pPr>
        <w:pStyle w:val="ListParagraph"/>
        <w:numPr>
          <w:ilvl w:val="0"/>
          <w:numId w:val="2"/>
        </w:numPr>
        <w:spacing w:after="60"/>
      </w:pPr>
      <w:r>
        <w:t xml:space="preserve">Centre des check-ins avec détection automatique d'anomalies</w:t>
      </w:r>
    </w:p>
    <w:p>
      <w:pPr>
        <w:pStyle w:val="ListParagraph"/>
        <w:numPr>
          <w:ilvl w:val="0"/>
          <w:numId w:val="2"/>
        </w:numPr>
        <w:spacing w:after="60"/>
      </w:pPr>
      <w:r>
        <w:t xml:space="preserve">Module alertes avec acquittement, investigation, résolution</w:t>
      </w:r>
    </w:p>
    <w:p>
      <w:pPr>
        <w:pStyle w:val="ListParagraph"/>
        <w:numPr>
          <w:ilvl w:val="0"/>
          <w:numId w:val="2"/>
        </w:numPr>
        <w:spacing w:after="60"/>
      </w:pPr>
      <w:r>
        <w:t xml:space="preserve">Contact-tracing (graphe D3 force-directed des relations)</w:t>
      </w:r>
    </w:p>
    <w:p>
      <w:pPr>
        <w:pStyle w:val="ListParagraph"/>
        <w:numPr>
          <w:ilvl w:val="0"/>
          <w:numId w:val="2"/>
        </w:numPr>
        <w:spacing w:after="60"/>
      </w:pPr>
      <w:r>
        <w:t xml:space="preserve">Gestion utilisateurs CRUD + affectation rôles + organisations</w:t>
      </w:r>
    </w:p>
    <w:p>
      <w:pPr>
        <w:pStyle w:val="ListParagraph"/>
        <w:numPr>
          <w:ilvl w:val="0"/>
          <w:numId w:val="2"/>
        </w:numPr>
        <w:spacing w:after="60"/>
      </w:pPr>
      <w:r>
        <w:t xml:space="preserve">Centre de rapports (export CSV/PDF par maladie, district, période)</w:t>
      </w:r>
    </w:p>
    <w:p>
      <w:pPr>
        <w:pStyle w:val="ListParagraph"/>
        <w:numPr>
          <w:ilvl w:val="0"/>
          <w:numId w:val="2"/>
        </w:numPr>
        <w:spacing w:after="60"/>
      </w:pPr>
      <w:r>
        <w:t xml:space="preserve">Notifications temps réel via WebSocket</w:t>
      </w:r>
    </w:p>
    <w:p>
      <w:pPr>
        <w:pStyle w:val="ListParagraph"/>
        <w:numPr>
          <w:ilvl w:val="0"/>
          <w:numId w:val="2"/>
        </w:numPr>
        <w:spacing w:after="60"/>
      </w:pPr>
      <w:r>
        <w:t xml:space="preserve">Audit log consultable (toutes opérations sensibles)</w:t>
      </w:r>
    </w:p>
    <w:p>
      <w:r>
        <w:br w:type="page"/>
      </w:r>
    </w:p>
    <w:p>
      <w:pPr>
        <w:pStyle w:val="Heading1"/>
        <w:spacing w:after="200" w:before="360"/>
      </w:pPr>
      <w:r>
        <w:t xml:space="preserve">6. Méthodologie &amp; planning</w:t>
      </w:r>
    </w:p>
    <w:p>
      <w:pPr>
        <w:spacing w:after="100"/>
      </w:pPr>
      <w:r>
        <w:t xml:space="preserve">Notre méthodologie repose sur un cycle itératif Scrum-like avec sprints de 2 semaines, livraisons incrémentales et démos régulières au comité de pilotage MSHPCMU / INHP.</w:t>
      </w:r>
    </w:p>
    <w:p>
      <w:pPr>
        <w:pStyle w:val="Heading3"/>
        <w:spacing w:after="100" w:before="200"/>
      </w:pPr>
      <w:r>
        <w:t xml:space="preserve">Planning prévisionnel (durée totale : 18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Phase</w:t>
            </w:r>
          </w:p>
        </w:tc>
        <w:tc>
          <w:tcPr>
            <w:tcW w:type="dxa" w:w="57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Livrables principaux</w:t>
            </w:r>
          </w:p>
        </w:tc>
        <w:tc>
          <w:tcPr>
            <w:tcW w:type="dxa" w:w="18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center"/>
            </w:pPr>
            <w:r>
              <w:rPr>
                <w:b/>
                <w:bCs/>
                <w:color w:val="FFFFFF"/>
                <w:sz w:val="20"/>
                <w:szCs w:val="20"/>
              </w:rPr>
              <w:t xml:space="preserve">Durée</w:t>
            </w:r>
          </w:p>
        </w:tc>
      </w:tr>
      <w:tr>
        <w:tc>
          <w:tcPr>
            <w:tcW w:type="dxa" w:w="18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Sprint 0</w:t>
            </w:r>
          </w:p>
        </w:tc>
        <w:tc>
          <w:tcPr>
            <w:tcW w:type="dxa" w:w="57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Cadrage, ateliers, spécifications fonctionnelles</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M+0 → M+0,5</w:t>
            </w:r>
          </w:p>
        </w:tc>
      </w:tr>
      <w:tr>
        <w:tc>
          <w:tcPr>
            <w:tcW w:type="dxa" w:w="18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Sprints 1-3</w:t>
            </w:r>
          </w:p>
        </w:tc>
        <w:tc>
          <w:tcPr>
            <w:tcW w:type="dxa" w:w="57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Socle technique, RBAC, formulaire voyageur, modèle données</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M+0,5 → M+2</w:t>
            </w:r>
          </w:p>
        </w:tc>
      </w:tr>
      <w:tr>
        <w:tc>
          <w:tcPr>
            <w:tcW w:type="dxa" w:w="18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Sprints 4-6</w:t>
            </w:r>
          </w:p>
        </w:tc>
        <w:tc>
          <w:tcPr>
            <w:tcW w:type="dxa" w:w="57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Health Pass, suivi 21j, dashboard admin, MVP livré</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M+2 → M+4</w:t>
            </w:r>
          </w:p>
        </w:tc>
      </w:tr>
      <w:tr>
        <w:tc>
          <w:tcPr>
            <w:tcW w:type="dxa" w:w="18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Sprints 7-12</w:t>
            </w:r>
          </w:p>
        </w:tc>
        <w:tc>
          <w:tcPr>
            <w:tcW w:type="dxa" w:w="57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PWA Companion, géoloc, push, contact-tracing, rapports</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M+4 → M+6</w:t>
            </w:r>
          </w:p>
        </w:tc>
      </w:tr>
      <w:tr>
        <w:tc>
          <w:tcPr>
            <w:tcW w:type="dxa" w:w="180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top"/>
          </w:tcPr>
          <w:p>
            <w:r>
              <w:rPr>
                <w:b/>
                <w:bCs/>
                <w:color w:val="FFFFFF"/>
                <w:sz w:val="20"/>
                <w:szCs w:val="20"/>
              </w:rPr>
              <w:t xml:space="preserve">VABF</w:t>
            </w:r>
          </w:p>
        </w:tc>
        <w:tc>
          <w:tcPr>
            <w:tcW w:type="dxa" w:w="57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Recette définitive, déploiement production, formation INHP</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M+6</w:t>
            </w:r>
          </w:p>
        </w:tc>
      </w:tr>
      <w:tr>
        <w:tc>
          <w:tcPr>
            <w:tcW w:type="dxa" w:w="1800"/>
            <w:tcBorders>
              <w:top w:val="single" w:color="E2E8F0" w:sz="6"/>
              <w:left w:val="single" w:color="E2E8F0" w:sz="6"/>
              <w:bottom w:val="single" w:color="E2E8F0" w:sz="6"/>
              <w:right w:val="single" w:color="E2E8F0" w:sz="6"/>
            </w:tcBorders>
            <w:shd w:fill="009E60" w:color="auto" w:val="clear"/>
            <w:tcMar>
              <w:top w:type="dxa" w:w="100"/>
              <w:left w:type="dxa" w:w="140"/>
              <w:bottom w:type="dxa" w:w="100"/>
              <w:right w:type="dxa" w:w="140"/>
            </w:tcMar>
            <w:vAlign w:val="top"/>
          </w:tcPr>
          <w:p>
            <w:r>
              <w:rPr>
                <w:b/>
                <w:bCs/>
                <w:color w:val="FFFFFF"/>
                <w:sz w:val="20"/>
                <w:szCs w:val="20"/>
              </w:rPr>
              <w:t xml:space="preserve">TMA + run</w:t>
            </w:r>
          </w:p>
        </w:tc>
        <w:tc>
          <w:tcPr>
            <w:tcW w:type="dxa" w:w="57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Maintenance évolutive, support 9h-18h, astreinte 24/7</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M+6 → M+18</w:t>
            </w:r>
          </w:p>
        </w:tc>
      </w:tr>
    </w:tbl>
    <w:p>
      <w:pPr>
        <w:pStyle w:val="Heading1"/>
        <w:spacing w:after="200" w:before="360"/>
      </w:pPr>
      <w:r>
        <w:t xml:space="preserve">7. Équipe projet dédiée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Profil</w:t>
            </w:r>
          </w:p>
        </w:tc>
        <w:tc>
          <w:tcPr>
            <w:tcW w:type="dxa" w:w="45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Rôle &amp; responsabilités</w:t>
            </w:r>
          </w:p>
        </w:tc>
        <w:tc>
          <w:tcPr>
            <w:tcW w:type="dxa" w:w="18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center"/>
            </w:pPr>
            <w:r>
              <w:rPr>
                <w:b/>
                <w:bCs/>
                <w:color w:val="FFFFFF"/>
                <w:sz w:val="20"/>
                <w:szCs w:val="20"/>
              </w:rPr>
              <w:t xml:space="preserve">Allocation</w:t>
            </w:r>
          </w:p>
        </w:tc>
      </w:tr>
      <w:tr>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sz w:val="20"/>
                <w:szCs w:val="20"/>
              </w:rPr>
              <w:t xml:space="preserve">Directeur de projet</w:t>
            </w:r>
          </w:p>
        </w:tc>
        <w:tc>
          <w:tcPr>
            <w:tcW w:type="dxa" w:w="45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Pilotage global, comité de pilotage MSHPCMU/INHP, reporting</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20%</w:t>
            </w:r>
          </w:p>
        </w:tc>
      </w:tr>
      <w:tr>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sz w:val="20"/>
                <w:szCs w:val="20"/>
              </w:rPr>
              <w:t xml:space="preserve">Architecte logiciel senior</w:t>
            </w:r>
          </w:p>
        </w:tc>
        <w:tc>
          <w:tcPr>
            <w:tcW w:type="dxa" w:w="45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Conception architecture, choix techniques, code review</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40%</w:t>
            </w:r>
          </w:p>
        </w:tc>
      </w:tr>
      <w:tr>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sz w:val="20"/>
                <w:szCs w:val="20"/>
              </w:rPr>
              <w:t xml:space="preserve">Développeur backend Python senior (×2)</w:t>
            </w:r>
          </w:p>
        </w:tc>
        <w:tc>
          <w:tcPr>
            <w:tcW w:type="dxa" w:w="45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Django, DRF, Celery, PostgreSQL, modules métier</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100%</w:t>
            </w:r>
          </w:p>
        </w:tc>
      </w:tr>
      <w:tr>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sz w:val="20"/>
                <w:szCs w:val="20"/>
              </w:rPr>
              <w:t xml:space="preserve">Développeur frontend Next.js senior</w:t>
            </w:r>
          </w:p>
        </w:tc>
        <w:tc>
          <w:tcPr>
            <w:tcW w:type="dxa" w:w="45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Next.js 14, TypeScript, PWA, dashboards</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100%</w:t>
            </w:r>
          </w:p>
        </w:tc>
      </w:tr>
      <w:tr>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sz w:val="20"/>
                <w:szCs w:val="20"/>
              </w:rPr>
              <w:t xml:space="preserve">Designer UX/UI</w:t>
            </w:r>
          </w:p>
        </w:tc>
        <w:tc>
          <w:tcPr>
            <w:tcW w:type="dxa" w:w="45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Maquettes Figma, identité visuelle CI</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30%</w:t>
            </w:r>
          </w:p>
        </w:tc>
      </w:tr>
      <w:tr>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sz w:val="20"/>
                <w:szCs w:val="20"/>
              </w:rPr>
              <w:t xml:space="preserve">DevOps / SRE</w:t>
            </w:r>
          </w:p>
        </w:tc>
        <w:tc>
          <w:tcPr>
            <w:tcW w:type="dxa" w:w="45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Infrastructure, CI/CD, monitoring, sécurité</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40%</w:t>
            </w:r>
          </w:p>
        </w:tc>
      </w:tr>
      <w:tr>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b/>
                <w:bCs/>
                <w:sz w:val="20"/>
                <w:szCs w:val="20"/>
              </w:rPr>
              <w:t xml:space="preserve">QA / Testeur fonctionnel</w:t>
            </w:r>
          </w:p>
        </w:tc>
        <w:tc>
          <w:tcPr>
            <w:tcW w:type="dxa" w:w="456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Plans de tests, recettes, automatisation</w:t>
            </w:r>
          </w:p>
        </w:tc>
        <w:tc>
          <w:tcPr>
            <w:tcW w:type="dxa" w:w="18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pPr>
              <w:jc w:val="center"/>
            </w:pPr>
            <w:r>
              <w:rPr>
                <w:sz w:val="20"/>
                <w:szCs w:val="20"/>
              </w:rPr>
              <w:t xml:space="preserve">30%</w:t>
            </w:r>
          </w:p>
        </w:tc>
      </w:tr>
    </w:tbl>
    <w:p>
      <w:r>
        <w:br w:type="page"/>
      </w:r>
    </w:p>
    <w:p>
      <w:pPr>
        <w:pStyle w:val="Heading1"/>
        <w:spacing w:after="200" w:before="360"/>
      </w:pPr>
      <w:r>
        <w:t xml:space="preserve">8. Offre financière détaillée</w:t>
      </w:r>
    </w:p>
    <w:p>
      <w:pPr>
        <w:spacing w:after="100"/>
      </w:pPr>
      <w:r>
        <w:t xml:space="preserve">L'offre est libellée en Francs CFA BCEAO (XOF) et présentée Hors Taxes, TVA 18% en sus. Le détail par lot est présenté ci-après. Tous les montants incluent les frais de personnel, déplacements internes Côte d'Ivoire, licences, infrastructure et garantie qualité.</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900"/>
        <w:gridCol w:w="2600"/>
      </w:tblGrid>
      <w:tr>
        <w:trPr>
          <w:tblHeader/>
        </w:trPr>
        <w:tc>
          <w:tcPr>
            <w:tcW w:type="dxa" w:w="7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center"/>
            </w:pPr>
            <w:r>
              <w:rPr>
                <w:b/>
                <w:bCs/>
                <w:color w:val="FFFFFF"/>
                <w:sz w:val="20"/>
                <w:szCs w:val="20"/>
              </w:rPr>
              <w:t xml:space="preserve">Lot</w:t>
            </w:r>
          </w:p>
        </w:tc>
        <w:tc>
          <w:tcPr>
            <w:tcW w:type="dxa" w:w="51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Désignation</w:t>
            </w:r>
          </w:p>
        </w:tc>
        <w:tc>
          <w:tcPr>
            <w:tcW w:type="dxa" w:w="9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center"/>
            </w:pPr>
            <w:r>
              <w:rPr>
                <w:b/>
                <w:bCs/>
                <w:color w:val="FFFFFF"/>
                <w:sz w:val="20"/>
                <w:szCs w:val="20"/>
              </w:rPr>
              <w:t xml:space="preserve">J-H</w:t>
            </w:r>
          </w:p>
        </w:tc>
        <w:tc>
          <w:tcPr>
            <w:tcW w:type="dxa" w:w="26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FFFF"/>
                <w:sz w:val="20"/>
                <w:szCs w:val="20"/>
              </w:rPr>
              <w:t xml:space="preserve">Montant HT (FCFA)</w:t>
            </w:r>
          </w:p>
        </w:tc>
      </w:tr>
      <w:tr>
        <w:tc>
          <w:tcPr>
            <w:tcW w:type="dxa" w:w="7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b/>
                <w:bCs/>
                <w:sz w:val="20"/>
                <w:szCs w:val="20"/>
              </w:rPr>
              <w:t xml:space="preserve">L1</w:t>
            </w:r>
          </w:p>
        </w:tc>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Conception, cadrage &amp; spécifications fonctionnelles</w:t>
            </w:r>
          </w:p>
        </w:tc>
        <w:tc>
          <w:tcPr>
            <w:tcW w:type="dxa" w:w="9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30</w:t>
            </w:r>
          </w:p>
        </w:tc>
        <w:tc>
          <w:tcPr>
            <w:tcW w:type="dxa" w:w="26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12 000 000</w:t>
            </w:r>
          </w:p>
        </w:tc>
      </w:tr>
      <w:tr>
        <w:tc>
          <w:tcPr>
            <w:tcW w:type="dxa" w:w="7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b/>
                <w:bCs/>
                <w:sz w:val="20"/>
                <w:szCs w:val="20"/>
              </w:rPr>
              <w:t xml:space="preserve">L2</w:t>
            </w:r>
          </w:p>
        </w:tc>
        <w:tc>
          <w:tcPr>
            <w:tcW w:type="dxa" w:w="51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Développement Backend (Django / DRF / Celery)</w:t>
            </w:r>
          </w:p>
        </w:tc>
        <w:tc>
          <w:tcPr>
            <w:tcW w:type="dxa" w:w="9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sz w:val="20"/>
                <w:szCs w:val="20"/>
              </w:rPr>
              <w:t xml:space="preserve">80</w:t>
            </w:r>
          </w:p>
        </w:tc>
        <w:tc>
          <w:tcPr>
            <w:tcW w:type="dxa" w:w="26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0"/>
                <w:szCs w:val="20"/>
              </w:rPr>
              <w:t xml:space="preserve">28 000 000</w:t>
            </w:r>
          </w:p>
        </w:tc>
      </w:tr>
      <w:tr>
        <w:tc>
          <w:tcPr>
            <w:tcW w:type="dxa" w:w="7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b/>
                <w:bCs/>
                <w:sz w:val="20"/>
                <w:szCs w:val="20"/>
              </w:rPr>
              <w:t xml:space="preserve">L3</w:t>
            </w:r>
          </w:p>
        </w:tc>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Développement Frontend (Next.js 14 — Public + Admin)</w:t>
            </w:r>
          </w:p>
        </w:tc>
        <w:tc>
          <w:tcPr>
            <w:tcW w:type="dxa" w:w="9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70</w:t>
            </w:r>
          </w:p>
        </w:tc>
        <w:tc>
          <w:tcPr>
            <w:tcW w:type="dxa" w:w="26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24 000 000</w:t>
            </w:r>
          </w:p>
        </w:tc>
      </w:tr>
      <w:tr>
        <w:tc>
          <w:tcPr>
            <w:tcW w:type="dxa" w:w="7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b/>
                <w:bCs/>
                <w:sz w:val="20"/>
                <w:szCs w:val="20"/>
              </w:rPr>
              <w:t xml:space="preserve">L4</w:t>
            </w:r>
          </w:p>
        </w:tc>
        <w:tc>
          <w:tcPr>
            <w:tcW w:type="dxa" w:w="51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Modules métier spécialisés</w:t>
            </w:r>
          </w:p>
        </w:tc>
        <w:tc>
          <w:tcPr>
            <w:tcW w:type="dxa" w:w="9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sz w:val="20"/>
                <w:szCs w:val="20"/>
              </w:rPr>
              <w:t xml:space="preserve">100</w:t>
            </w:r>
          </w:p>
        </w:tc>
        <w:tc>
          <w:tcPr>
            <w:tcW w:type="dxa" w:w="26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0"/>
                <w:szCs w:val="20"/>
              </w:rPr>
              <w:t xml:space="preserve">36 000 000</w:t>
            </w:r>
          </w:p>
        </w:tc>
      </w:tr>
      <w:tr>
        <w:tc>
          <w:tcPr>
            <w:tcW w:type="dxa" w:w="7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b/>
                <w:bCs/>
                <w:sz w:val="20"/>
                <w:szCs w:val="20"/>
              </w:rPr>
              <w:t xml:space="preserve">L5</w:t>
            </w:r>
          </w:p>
        </w:tc>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Infrastructure, DevOps &amp; Observabilité</w:t>
            </w:r>
          </w:p>
        </w:tc>
        <w:tc>
          <w:tcPr>
            <w:tcW w:type="dxa" w:w="9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30</w:t>
            </w:r>
          </w:p>
        </w:tc>
        <w:tc>
          <w:tcPr>
            <w:tcW w:type="dxa" w:w="26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12 000 000</w:t>
            </w:r>
          </w:p>
        </w:tc>
      </w:tr>
      <w:tr>
        <w:tc>
          <w:tcPr>
            <w:tcW w:type="dxa" w:w="7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b/>
                <w:bCs/>
                <w:sz w:val="20"/>
                <w:szCs w:val="20"/>
              </w:rPr>
              <w:t xml:space="preserve">L6</w:t>
            </w:r>
          </w:p>
        </w:tc>
        <w:tc>
          <w:tcPr>
            <w:tcW w:type="dxa" w:w="51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Sécurité, RGPD &amp; conformité</w:t>
            </w:r>
          </w:p>
        </w:tc>
        <w:tc>
          <w:tcPr>
            <w:tcW w:type="dxa" w:w="9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sz w:val="20"/>
                <w:szCs w:val="20"/>
              </w:rPr>
              <w:t xml:space="preserve">28</w:t>
            </w:r>
          </w:p>
        </w:tc>
        <w:tc>
          <w:tcPr>
            <w:tcW w:type="dxa" w:w="26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0"/>
                <w:szCs w:val="20"/>
              </w:rPr>
              <w:t xml:space="preserve">11 000 000</w:t>
            </w:r>
          </w:p>
        </w:tc>
      </w:tr>
      <w:tr>
        <w:tc>
          <w:tcPr>
            <w:tcW w:type="dxa" w:w="7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b/>
                <w:bCs/>
                <w:sz w:val="20"/>
                <w:szCs w:val="20"/>
              </w:rPr>
              <w:t xml:space="preserve">L7</w:t>
            </w:r>
          </w:p>
        </w:tc>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Tests, recettes &amp; documentation technique</w:t>
            </w:r>
          </w:p>
        </w:tc>
        <w:tc>
          <w:tcPr>
            <w:tcW w:type="dxa" w:w="9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30</w:t>
            </w:r>
          </w:p>
        </w:tc>
        <w:tc>
          <w:tcPr>
            <w:tcW w:type="dxa" w:w="26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10 000 000</w:t>
            </w:r>
          </w:p>
        </w:tc>
      </w:tr>
      <w:tr>
        <w:tc>
          <w:tcPr>
            <w:tcW w:type="dxa" w:w="7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b/>
                <w:bCs/>
                <w:sz w:val="20"/>
                <w:szCs w:val="20"/>
              </w:rPr>
              <w:t xml:space="preserve">L8</w:t>
            </w:r>
          </w:p>
        </w:tc>
        <w:tc>
          <w:tcPr>
            <w:tcW w:type="dxa" w:w="51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Déploiement &amp; mise en production</w:t>
            </w:r>
          </w:p>
        </w:tc>
        <w:tc>
          <w:tcPr>
            <w:tcW w:type="dxa" w:w="9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sz w:val="20"/>
                <w:szCs w:val="20"/>
              </w:rPr>
              <w:t xml:space="preserve">15</w:t>
            </w:r>
          </w:p>
        </w:tc>
        <w:tc>
          <w:tcPr>
            <w:tcW w:type="dxa" w:w="26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0"/>
                <w:szCs w:val="20"/>
              </w:rPr>
              <w:t xml:space="preserve">6 000 000</w:t>
            </w:r>
          </w:p>
        </w:tc>
      </w:tr>
      <w:tr>
        <w:tc>
          <w:tcPr>
            <w:tcW w:type="dxa" w:w="7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b/>
                <w:bCs/>
                <w:sz w:val="20"/>
                <w:szCs w:val="20"/>
              </w:rPr>
              <w:t xml:space="preserve">L9</w:t>
            </w:r>
          </w:p>
        </w:tc>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Formation des agents INHP &amp; MSHPCMU</w:t>
            </w:r>
          </w:p>
        </w:tc>
        <w:tc>
          <w:tcPr>
            <w:tcW w:type="dxa" w:w="9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20</w:t>
            </w:r>
          </w:p>
        </w:tc>
        <w:tc>
          <w:tcPr>
            <w:tcW w:type="dxa" w:w="26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7 000 000</w:t>
            </w:r>
          </w:p>
        </w:tc>
      </w:tr>
      <w:tr>
        <w:tc>
          <w:tcPr>
            <w:tcW w:type="dxa" w:w="7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b/>
                <w:bCs/>
                <w:sz w:val="20"/>
                <w:szCs w:val="20"/>
              </w:rPr>
              <w:t xml:space="preserve">L10</w:t>
            </w:r>
          </w:p>
        </w:tc>
        <w:tc>
          <w:tcPr>
            <w:tcW w:type="dxa" w:w="51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TMA &amp; support fonctionnel — 12 mois</w:t>
            </w:r>
          </w:p>
        </w:tc>
        <w:tc>
          <w:tcPr>
            <w:tcW w:type="dxa" w:w="9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sz w:val="20"/>
                <w:szCs w:val="20"/>
              </w:rPr>
              <w:t xml:space="preserve">75</w:t>
            </w:r>
          </w:p>
        </w:tc>
        <w:tc>
          <w:tcPr>
            <w:tcW w:type="dxa" w:w="26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0"/>
                <w:szCs w:val="20"/>
              </w:rPr>
              <w:t xml:space="preserve">30 000 000</w:t>
            </w:r>
          </w:p>
        </w:tc>
      </w:tr>
      <w:tr>
        <w:tc>
          <w:tcPr>
            <w:tcW w:type="dxa" w:w="7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b/>
                <w:bCs/>
                <w:sz w:val="20"/>
                <w:szCs w:val="20"/>
              </w:rPr>
              <w:t xml:space="preserve">L11</w:t>
            </w:r>
          </w:p>
        </w:tc>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Hébergement &amp; supervision — 12 mois</w:t>
            </w:r>
          </w:p>
        </w:tc>
        <w:tc>
          <w:tcPr>
            <w:tcW w:type="dxa" w:w="9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w:t>
            </w:r>
          </w:p>
        </w:tc>
        <w:tc>
          <w:tcPr>
            <w:tcW w:type="dxa" w:w="26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4 000 000</w:t>
            </w:r>
          </w:p>
        </w:tc>
      </w:tr>
      <w:tr>
        <w:tc>
          <w:tcPr>
            <w:tcW w:type="dxa" w:w="67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center"/>
          </w:tcPr>
          <w:p>
            <w:pPr>
              <w:jc w:val="right"/>
            </w:pPr>
            <w:r>
              <w:rPr>
                <w:b/>
                <w:bCs/>
                <w:color w:val="FFFFFF"/>
                <w:sz w:val="22"/>
                <w:szCs w:val="22"/>
              </w:rPr>
              <w:t xml:space="preserve">TOTAL HORS TAXES</w:t>
            </w:r>
          </w:p>
        </w:tc>
        <w:tc>
          <w:tcPr>
            <w:tcW w:type="dxa" w:w="9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t xml:space="preserve"/>
            </w:r>
          </w:p>
        </w:tc>
        <w:tc>
          <w:tcPr>
            <w:tcW w:type="dxa" w:w="26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FFFF"/>
                <w:sz w:val="22"/>
                <w:szCs w:val="22"/>
              </w:rPr>
              <w:t xml:space="preserve">180 000 000</w:t>
            </w:r>
          </w:p>
        </w:tc>
      </w:tr>
      <w:tr>
        <w:tc>
          <w:tcPr>
            <w:tcW w:type="dxa" w:w="67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center"/>
          </w:tcPr>
          <w:p>
            <w:pPr>
              <w:jc w:val="right"/>
            </w:pPr>
            <w:r>
              <w:rPr>
                <w:b/>
                <w:bCs/>
                <w:sz w:val="22"/>
                <w:szCs w:val="22"/>
              </w:rPr>
              <w:t xml:space="preserve">TVA 18%</w:t>
            </w:r>
          </w:p>
        </w:tc>
        <w:tc>
          <w:tcPr>
            <w:tcW w:type="dxa" w:w="9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t xml:space="preserve"/>
            </w:r>
          </w:p>
        </w:tc>
        <w:tc>
          <w:tcPr>
            <w:tcW w:type="dxa" w:w="26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2"/>
                <w:szCs w:val="22"/>
              </w:rPr>
              <w:t xml:space="preserve">32 400 000</w:t>
            </w:r>
          </w:p>
        </w:tc>
      </w:tr>
      <w:tr>
        <w:tc>
          <w:tcPr>
            <w:tcW w:type="dxa" w:w="676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center"/>
          </w:tcPr>
          <w:p>
            <w:pPr>
              <w:jc w:val="right"/>
            </w:pPr>
            <w:r>
              <w:rPr>
                <w:b/>
                <w:bCs/>
                <w:color w:val="FFFFFF"/>
                <w:sz w:val="26"/>
                <w:szCs w:val="26"/>
              </w:rPr>
              <w:t xml:space="preserve">TOTAL TOUTES TAXES COMPRISES (TTC)</w:t>
            </w:r>
          </w:p>
        </w:tc>
        <w:tc>
          <w:tcPr>
            <w:tcW w:type="dxa" w:w="90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top"/>
          </w:tcPr>
          <w:p>
            <w:r>
              <w:t xml:space="preserve"/>
            </w:r>
          </w:p>
        </w:tc>
        <w:tc>
          <w:tcPr>
            <w:tcW w:type="dxa" w:w="260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top"/>
          </w:tcPr>
          <w:p>
            <w:pPr>
              <w:jc w:val="right"/>
            </w:pPr>
            <w:r>
              <w:rPr>
                <w:b/>
                <w:bCs/>
                <w:color w:val="FFFFFF"/>
                <w:sz w:val="26"/>
                <w:szCs w:val="26"/>
              </w:rPr>
              <w:t xml:space="preserve">212 400 000</w:t>
            </w:r>
          </w:p>
        </w:tc>
      </w:tr>
    </w:tbl>
    <w:p>
      <w:r>
        <w:br w:type="page"/>
      </w:r>
    </w:p>
    <w:p>
      <w:pPr>
        <w:pStyle w:val="Heading2"/>
        <w:spacing w:after="140" w:before="280"/>
      </w:pPr>
      <w:r>
        <w:t xml:space="preserve">8.1 Détail des prestations par lot</w:t>
      </w:r>
    </w:p>
    <w:p>
      <w:pPr>
        <w:spacing w:after="100" w:before="280"/>
      </w:pPr>
      <w:r>
        <w:rPr>
          <w:b/>
          <w:bCs/>
          <w:color w:val="0B1820"/>
          <w:sz w:val="24"/>
          <w:szCs w:val="24"/>
        </w:rPr>
        <w:t xml:space="preserve">L1 — Conception, cadrage &amp; spécifications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30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12 000 000 FCFA</w:t>
            </w:r>
          </w:p>
        </w:tc>
      </w:tr>
    </w:tbl>
    <w:p>
      <w:pPr>
        <w:spacing w:after="60" w:before="120"/>
      </w:pPr>
      <w:r>
        <w:t xml:space="preserve">Livrables et prestations incluses :</w:t>
      </w:r>
    </w:p>
    <w:p>
      <w:pPr>
        <w:pStyle w:val="ListParagraph"/>
        <w:numPr>
          <w:ilvl w:val="0"/>
          <w:numId w:val="2"/>
        </w:numPr>
        <w:spacing w:after="60"/>
      </w:pPr>
      <w:r>
        <w:t xml:space="preserve">Ateliers de cadrage avec MSHPCMU / INHP (3 sessions)</w:t>
      </w:r>
    </w:p>
    <w:p>
      <w:pPr>
        <w:pStyle w:val="ListParagraph"/>
        <w:numPr>
          <w:ilvl w:val="0"/>
          <w:numId w:val="2"/>
        </w:numPr>
        <w:spacing w:after="60"/>
      </w:pPr>
      <w:r>
        <w:t xml:space="preserve">Étude fonctionnelle détaillée (use cases, parcours, écrans)</w:t>
      </w:r>
    </w:p>
    <w:p>
      <w:pPr>
        <w:pStyle w:val="ListParagraph"/>
        <w:numPr>
          <w:ilvl w:val="0"/>
          <w:numId w:val="2"/>
        </w:numPr>
        <w:spacing w:after="60"/>
      </w:pPr>
      <w:r>
        <w:t xml:space="preserve">Architecture cible (techniques + sécurité + RGPD)</w:t>
      </w:r>
    </w:p>
    <w:p>
      <w:pPr>
        <w:pStyle w:val="ListParagraph"/>
        <w:numPr>
          <w:ilvl w:val="0"/>
          <w:numId w:val="2"/>
        </w:numPr>
        <w:spacing w:after="60"/>
      </w:pPr>
      <w:r>
        <w:t xml:space="preserve">Spécifications API &amp; contrats d'interface</w:t>
      </w:r>
    </w:p>
    <w:p>
      <w:pPr>
        <w:pStyle w:val="ListParagraph"/>
        <w:numPr>
          <w:ilvl w:val="0"/>
          <w:numId w:val="2"/>
        </w:numPr>
        <w:spacing w:after="60"/>
      </w:pPr>
      <w:r>
        <w:t xml:space="preserve">Maquettes UX/UI haute-fidélité (Figma) — admin &amp; public</w:t>
      </w:r>
    </w:p>
    <w:p>
      <w:pPr>
        <w:spacing w:after="100" w:before="280"/>
      </w:pPr>
      <w:r>
        <w:rPr>
          <w:b/>
          <w:bCs/>
          <w:color w:val="0B1820"/>
          <w:sz w:val="24"/>
          <w:szCs w:val="24"/>
        </w:rPr>
        <w:t xml:space="preserve">L2 — Développement Backend (Django / DRF /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80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28 000 000 FCFA</w:t>
            </w:r>
          </w:p>
        </w:tc>
      </w:tr>
    </w:tbl>
    <w:p>
      <w:pPr>
        <w:spacing w:after="60" w:before="120"/>
      </w:pPr>
      <w:r>
        <w:t xml:space="preserve">Livrables et prestations incluses :</w:t>
      </w:r>
    </w:p>
    <w:p>
      <w:pPr>
        <w:pStyle w:val="ListParagraph"/>
        <w:numPr>
          <w:ilvl w:val="0"/>
          <w:numId w:val="2"/>
        </w:numPr>
        <w:spacing w:after="60"/>
      </w:pPr>
      <w:r>
        <w:t xml:space="preserve">Socle technique multi-tenant (apps modulaires)</w:t>
      </w:r>
    </w:p>
    <w:p>
      <w:pPr>
        <w:pStyle w:val="ListParagraph"/>
        <w:numPr>
          <w:ilvl w:val="0"/>
          <w:numId w:val="2"/>
        </w:numPr>
        <w:spacing w:after="60"/>
      </w:pPr>
      <w:r>
        <w:t xml:space="preserve">RBAC granulaire 10 rôles + JWT + MFA TOTP</w:t>
      </w:r>
    </w:p>
    <w:p>
      <w:pPr>
        <w:pStyle w:val="ListParagraph"/>
        <w:numPr>
          <w:ilvl w:val="0"/>
          <w:numId w:val="2"/>
        </w:numPr>
        <w:spacing w:after="60"/>
      </w:pPr>
      <w:r>
        <w:t xml:space="preserve">API REST documentée (OpenAPI / Swagger / Redoc)</w:t>
      </w:r>
    </w:p>
    <w:p>
      <w:pPr>
        <w:pStyle w:val="ListParagraph"/>
        <w:numPr>
          <w:ilvl w:val="0"/>
          <w:numId w:val="2"/>
        </w:numPr>
        <w:spacing w:after="60"/>
      </w:pPr>
      <w:r>
        <w:t xml:space="preserve">Moteur multi-maladies (Disease, formulaires dynamiques)</w:t>
      </w:r>
    </w:p>
    <w:p>
      <w:pPr>
        <w:pStyle w:val="ListParagraph"/>
        <w:numPr>
          <w:ilvl w:val="0"/>
          <w:numId w:val="2"/>
        </w:numPr>
        <w:spacing w:after="60"/>
      </w:pPr>
      <w:r>
        <w:t xml:space="preserve">Workers Celery (suivi 21j, notifications, scoring)</w:t>
      </w:r>
    </w:p>
    <w:p>
      <w:pPr>
        <w:pStyle w:val="ListParagraph"/>
        <w:numPr>
          <w:ilvl w:val="0"/>
          <w:numId w:val="2"/>
        </w:numPr>
        <w:spacing w:after="60"/>
      </w:pPr>
      <w:r>
        <w:t xml:space="preserve">WebSocket Channels temps réel (alertes admin)</w:t>
      </w:r>
    </w:p>
    <w:p>
      <w:pPr>
        <w:spacing w:after="100" w:before="280"/>
      </w:pPr>
      <w:r>
        <w:rPr>
          <w:b/>
          <w:bCs/>
          <w:color w:val="0B1820"/>
          <w:sz w:val="24"/>
          <w:szCs w:val="24"/>
        </w:rPr>
        <w:t xml:space="preserve">L3 — Développement Frontend (Next.js 14 — Public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70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24 000 000 FCFA</w:t>
            </w:r>
          </w:p>
        </w:tc>
      </w:tr>
    </w:tbl>
    <w:p>
      <w:pPr>
        <w:spacing w:after="60" w:before="120"/>
      </w:pPr>
      <w:r>
        <w:t xml:space="preserve">Livrables et prestations incluses :</w:t>
      </w:r>
    </w:p>
    <w:p>
      <w:pPr>
        <w:pStyle w:val="ListParagraph"/>
        <w:numPr>
          <w:ilvl w:val="0"/>
          <w:numId w:val="2"/>
        </w:numPr>
        <w:spacing w:after="60"/>
      </w:pPr>
      <w:r>
        <w:t xml:space="preserve">Portail public voyageur (landing INHP, formulaire 6 sections)</w:t>
      </w:r>
    </w:p>
    <w:p>
      <w:pPr>
        <w:pStyle w:val="ListParagraph"/>
        <w:numPr>
          <w:ilvl w:val="0"/>
          <w:numId w:val="2"/>
        </w:numPr>
        <w:spacing w:after="60"/>
      </w:pPr>
      <w:r>
        <w:t xml:space="preserve">PWA installable iOS/Android (manifest, service worker)</w:t>
      </w:r>
    </w:p>
    <w:p>
      <w:pPr>
        <w:pStyle w:val="ListParagraph"/>
        <w:numPr>
          <w:ilvl w:val="0"/>
          <w:numId w:val="2"/>
        </w:numPr>
        <w:spacing w:after="60"/>
      </w:pPr>
      <w:r>
        <w:t xml:space="preserve">Portail administration national (dashboard, cartographie)</w:t>
      </w:r>
    </w:p>
    <w:p>
      <w:pPr>
        <w:pStyle w:val="ListParagraph"/>
        <w:numPr>
          <w:ilvl w:val="0"/>
          <w:numId w:val="2"/>
        </w:numPr>
        <w:spacing w:after="60"/>
      </w:pPr>
      <w:r>
        <w:t xml:space="preserve">Module relations voyageurs (graphe D3 force-directed)</w:t>
      </w:r>
    </w:p>
    <w:p>
      <w:pPr>
        <w:pStyle w:val="ListParagraph"/>
        <w:numPr>
          <w:ilvl w:val="0"/>
          <w:numId w:val="2"/>
        </w:numPr>
        <w:spacing w:after="60"/>
      </w:pPr>
      <w:r>
        <w:t xml:space="preserve">Page utilisateurs CRUD complet (RBAC granulaire)</w:t>
      </w:r>
    </w:p>
    <w:p>
      <w:pPr>
        <w:pStyle w:val="ListParagraph"/>
        <w:numPr>
          <w:ilvl w:val="0"/>
          <w:numId w:val="2"/>
        </w:numPr>
        <w:spacing w:after="60"/>
      </w:pPr>
      <w:r>
        <w:t xml:space="preserve">Centre de rapports (CSV/PDF, filtres, export)</w:t>
      </w:r>
    </w:p>
    <w:p>
      <w:pPr>
        <w:spacing w:after="100" w:before="280"/>
      </w:pPr>
      <w:r>
        <w:rPr>
          <w:b/>
          <w:bCs/>
          <w:color w:val="0B1820"/>
          <w:sz w:val="24"/>
          <w:szCs w:val="24"/>
        </w:rPr>
        <w:t xml:space="preserve">L4 — Modules métier spécialisés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100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36 000 000 FCFA</w:t>
            </w:r>
          </w:p>
        </w:tc>
      </w:tr>
    </w:tbl>
    <w:p>
      <w:pPr>
        <w:spacing w:after="60" w:before="120"/>
      </w:pPr>
      <w:r>
        <w:t xml:space="preserve">Livrables et prestations incluses :</w:t>
      </w:r>
    </w:p>
    <w:p>
      <w:pPr>
        <w:pStyle w:val="ListParagraph"/>
        <w:numPr>
          <w:ilvl w:val="0"/>
          <w:numId w:val="2"/>
        </w:numPr>
        <w:spacing w:after="60"/>
      </w:pPr>
      <w:r>
        <w:t xml:space="preserve">Module Ebola : fiche INHP officielle (7 sections strictes)</w:t>
      </w:r>
    </w:p>
    <w:p>
      <w:pPr>
        <w:pStyle w:val="ListParagraph"/>
        <w:numPr>
          <w:ilvl w:val="0"/>
          <w:numId w:val="2"/>
        </w:numPr>
        <w:spacing w:after="60"/>
      </w:pPr>
      <w:r>
        <w:t xml:space="preserve">Module Health Pass : QR signé Ed25519 + PDF aux couleurs CI</w:t>
      </w:r>
    </w:p>
    <w:p>
      <w:pPr>
        <w:pStyle w:val="ListParagraph"/>
        <w:numPr>
          <w:ilvl w:val="0"/>
          <w:numId w:val="2"/>
        </w:numPr>
        <w:spacing w:after="60"/>
      </w:pPr>
      <w:r>
        <w:t xml:space="preserve">Module Quarantaine 21 jours (Celery beat, alertes automatiques)</w:t>
      </w:r>
    </w:p>
    <w:p>
      <w:pPr>
        <w:pStyle w:val="ListParagraph"/>
        <w:numPr>
          <w:ilvl w:val="0"/>
          <w:numId w:val="2"/>
        </w:numPr>
        <w:spacing w:after="60"/>
      </w:pPr>
      <w:r>
        <w:t xml:space="preserve">Module Companion PWA : check-in quotidien, géoloc consentie, push</w:t>
      </w:r>
    </w:p>
    <w:p>
      <w:pPr>
        <w:pStyle w:val="ListParagraph"/>
        <w:numPr>
          <w:ilvl w:val="0"/>
          <w:numId w:val="2"/>
        </w:numPr>
        <w:spacing w:after="60"/>
      </w:pPr>
      <w:r>
        <w:t xml:space="preserve">Module Scoring épidémiologique (algorithme MVE)</w:t>
      </w:r>
    </w:p>
    <w:p>
      <w:pPr>
        <w:pStyle w:val="ListParagraph"/>
        <w:numPr>
          <w:ilvl w:val="0"/>
          <w:numId w:val="2"/>
        </w:numPr>
        <w:spacing w:after="60"/>
      </w:pPr>
      <w:r>
        <w:t xml:space="preserve">Module Surveillance / Alertes (détection clusters, anti-spam)</w:t>
      </w:r>
    </w:p>
    <w:p>
      <w:pPr>
        <w:spacing w:after="100" w:before="280"/>
      </w:pPr>
      <w:r>
        <w:rPr>
          <w:b/>
          <w:bCs/>
          <w:color w:val="0B1820"/>
          <w:sz w:val="24"/>
          <w:szCs w:val="24"/>
        </w:rPr>
        <w:t xml:space="preserve">L5 — Infrastructure, DevOps &amp; Observabilité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30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12 000 000 FCFA</w:t>
            </w:r>
          </w:p>
        </w:tc>
      </w:tr>
    </w:tbl>
    <w:p>
      <w:pPr>
        <w:spacing w:after="60" w:before="120"/>
      </w:pPr>
      <w:r>
        <w:t xml:space="preserve">Livrables et prestations incluses :</w:t>
      </w:r>
    </w:p>
    <w:p>
      <w:pPr>
        <w:pStyle w:val="ListParagraph"/>
        <w:numPr>
          <w:ilvl w:val="0"/>
          <w:numId w:val="2"/>
        </w:numPr>
        <w:spacing w:after="60"/>
      </w:pPr>
      <w:r>
        <w:t xml:space="preserve">Infrastructure Docker Compose multi-services (12 conteneurs)</w:t>
      </w:r>
    </w:p>
    <w:p>
      <w:pPr>
        <w:pStyle w:val="ListParagraph"/>
        <w:numPr>
          <w:ilvl w:val="0"/>
          <w:numId w:val="2"/>
        </w:numPr>
        <w:spacing w:after="60"/>
      </w:pPr>
      <w:r>
        <w:t xml:space="preserve">Reverse proxy Traefik + TLS Let's Encrypt automatique</w:t>
      </w:r>
    </w:p>
    <w:p>
      <w:pPr>
        <w:pStyle w:val="ListParagraph"/>
        <w:numPr>
          <w:ilvl w:val="0"/>
          <w:numId w:val="2"/>
        </w:numPr>
        <w:spacing w:after="60"/>
      </w:pPr>
      <w:r>
        <w:t xml:space="preserve">Pipeline CI/CD GitHub Actions (build, tests, déploiement)</w:t>
      </w:r>
    </w:p>
    <w:p>
      <w:pPr>
        <w:pStyle w:val="ListParagraph"/>
        <w:numPr>
          <w:ilvl w:val="0"/>
          <w:numId w:val="2"/>
        </w:numPr>
        <w:spacing w:after="60"/>
      </w:pPr>
      <w:r>
        <w:t xml:space="preserve">Stack monitoring : Prometheus + Grafana + Loki + Promtail</w:t>
      </w:r>
    </w:p>
    <w:p>
      <w:pPr>
        <w:pStyle w:val="ListParagraph"/>
        <w:numPr>
          <w:ilvl w:val="0"/>
          <w:numId w:val="2"/>
        </w:numPr>
        <w:spacing w:after="60"/>
      </w:pPr>
      <w:r>
        <w:t xml:space="preserve">Alerting opérationnel (santé containers, taux d'erreur, latence)</w:t>
      </w:r>
    </w:p>
    <w:p>
      <w:pPr>
        <w:spacing w:after="100" w:before="280"/>
      </w:pPr>
      <w:r>
        <w:rPr>
          <w:b/>
          <w:bCs/>
          <w:color w:val="0B1820"/>
          <w:sz w:val="24"/>
          <w:szCs w:val="24"/>
        </w:rPr>
        <w:t xml:space="preserve">L6 — Sécurité, RGPD &amp; 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28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11 000 000 FCFA</w:t>
            </w:r>
          </w:p>
        </w:tc>
      </w:tr>
    </w:tbl>
    <w:p>
      <w:pPr>
        <w:spacing w:after="60" w:before="120"/>
      </w:pPr>
      <w:r>
        <w:t xml:space="preserve">Livrables et prestations incluses :</w:t>
      </w:r>
    </w:p>
    <w:p>
      <w:pPr>
        <w:pStyle w:val="ListParagraph"/>
        <w:numPr>
          <w:ilvl w:val="0"/>
          <w:numId w:val="2"/>
        </w:numPr>
        <w:spacing w:after="60"/>
      </w:pPr>
      <w:r>
        <w:t xml:space="preserve">Chiffrement at-rest des données PII (django-cryptography)</w:t>
      </w:r>
    </w:p>
    <w:p>
      <w:pPr>
        <w:pStyle w:val="ListParagraph"/>
        <w:numPr>
          <w:ilvl w:val="0"/>
          <w:numId w:val="2"/>
        </w:numPr>
        <w:spacing w:after="60"/>
      </w:pPr>
      <w:r>
        <w:t xml:space="preserve">Key management cryptographique (Ed25519 + VAPID Web Push)</w:t>
      </w:r>
    </w:p>
    <w:p>
      <w:pPr>
        <w:pStyle w:val="ListParagraph"/>
        <w:numPr>
          <w:ilvl w:val="0"/>
          <w:numId w:val="2"/>
        </w:numPr>
        <w:spacing w:after="60"/>
      </w:pPr>
      <w:r>
        <w:t xml:space="preserve">Politique de rétention RGPD + purge anonymisée automatique</w:t>
      </w:r>
    </w:p>
    <w:p>
      <w:pPr>
        <w:pStyle w:val="ListParagraph"/>
        <w:numPr>
          <w:ilvl w:val="0"/>
          <w:numId w:val="2"/>
        </w:numPr>
        <w:spacing w:after="60"/>
      </w:pPr>
      <w:r>
        <w:t xml:space="preserve">Audit log complet (toutes opérations sensibles)</w:t>
      </w:r>
    </w:p>
    <w:p>
      <w:pPr>
        <w:pStyle w:val="ListParagraph"/>
        <w:numPr>
          <w:ilvl w:val="0"/>
          <w:numId w:val="2"/>
        </w:numPr>
        <w:spacing w:after="60"/>
      </w:pPr>
      <w:r>
        <w:t xml:space="preserve">Rate limiting (anti-énumération, anti-bruteforce)</w:t>
      </w:r>
    </w:p>
    <w:p>
      <w:pPr>
        <w:pStyle w:val="ListParagraph"/>
        <w:numPr>
          <w:ilvl w:val="0"/>
          <w:numId w:val="2"/>
        </w:numPr>
        <w:spacing w:after="60"/>
      </w:pPr>
      <w:r>
        <w:t xml:space="preserve">Documentation : DPIA, key mgmt, backup/restore, DRA, WAF</w:t>
      </w:r>
    </w:p>
    <w:p>
      <w:pPr>
        <w:spacing w:after="100" w:before="280"/>
      </w:pPr>
      <w:r>
        <w:rPr>
          <w:b/>
          <w:bCs/>
          <w:color w:val="0B1820"/>
          <w:sz w:val="24"/>
          <w:szCs w:val="24"/>
        </w:rPr>
        <w:t xml:space="preserve">L7 — Tests, recettes &amp; documentation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30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10 000 000 FCFA</w:t>
            </w:r>
          </w:p>
        </w:tc>
      </w:tr>
    </w:tbl>
    <w:p>
      <w:pPr>
        <w:spacing w:after="60" w:before="120"/>
      </w:pPr>
      <w:r>
        <w:t xml:space="preserve">Livrables et prestations incluses :</w:t>
      </w:r>
    </w:p>
    <w:p>
      <w:pPr>
        <w:pStyle w:val="ListParagraph"/>
        <w:numPr>
          <w:ilvl w:val="0"/>
          <w:numId w:val="2"/>
        </w:numPr>
        <w:spacing w:after="60"/>
      </w:pPr>
      <w:r>
        <w:t xml:space="preserve">Tests unitaires &amp; d'intégration (Pytest, couverture ≥ 70%)</w:t>
      </w:r>
    </w:p>
    <w:p>
      <w:pPr>
        <w:pStyle w:val="ListParagraph"/>
        <w:numPr>
          <w:ilvl w:val="0"/>
          <w:numId w:val="2"/>
        </w:numPr>
        <w:spacing w:after="60"/>
      </w:pPr>
      <w:r>
        <w:t xml:space="preserve">Tests end-to-end (parcours voyageur + admin)</w:t>
      </w:r>
    </w:p>
    <w:p>
      <w:pPr>
        <w:pStyle w:val="ListParagraph"/>
        <w:numPr>
          <w:ilvl w:val="0"/>
          <w:numId w:val="2"/>
        </w:numPr>
        <w:spacing w:after="60"/>
      </w:pPr>
      <w:r>
        <w:t xml:space="preserve">Documentation API (OpenAPI 3, Swagger UI hébergée)</w:t>
      </w:r>
    </w:p>
    <w:p>
      <w:pPr>
        <w:pStyle w:val="ListParagraph"/>
        <w:numPr>
          <w:ilvl w:val="0"/>
          <w:numId w:val="2"/>
        </w:numPr>
        <w:spacing w:after="60"/>
      </w:pPr>
      <w:r>
        <w:t xml:space="preserve">Documentation déploiement &amp; exploitation (runbooks)</w:t>
      </w:r>
    </w:p>
    <w:p>
      <w:pPr>
        <w:pStyle w:val="ListParagraph"/>
        <w:numPr>
          <w:ilvl w:val="0"/>
          <w:numId w:val="2"/>
        </w:numPr>
        <w:spacing w:after="60"/>
      </w:pPr>
      <w:r>
        <w:t xml:space="preserve">PV de recette VABF &amp; support à la VSR</w:t>
      </w:r>
    </w:p>
    <w:p>
      <w:pPr>
        <w:spacing w:after="100" w:before="280"/>
      </w:pPr>
      <w:r>
        <w:rPr>
          <w:b/>
          <w:bCs/>
          <w:color w:val="0B1820"/>
          <w:sz w:val="24"/>
          <w:szCs w:val="24"/>
        </w:rPr>
        <w:t xml:space="preserve">L8 — Déploiement &amp; mise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15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6 000 000 FCFA</w:t>
            </w:r>
          </w:p>
        </w:tc>
      </w:tr>
    </w:tbl>
    <w:p>
      <w:pPr>
        <w:spacing w:after="60" w:before="120"/>
      </w:pPr>
      <w:r>
        <w:t xml:space="preserve">Livrables et prestations incluses :</w:t>
      </w:r>
    </w:p>
    <w:p>
      <w:pPr>
        <w:pStyle w:val="ListParagraph"/>
        <w:numPr>
          <w:ilvl w:val="0"/>
          <w:numId w:val="2"/>
        </w:numPr>
        <w:spacing w:after="60"/>
      </w:pPr>
      <w:r>
        <w:t xml:space="preserve">Provisionnement serveur dédié + sécurisation</w:t>
      </w:r>
    </w:p>
    <w:p>
      <w:pPr>
        <w:pStyle w:val="ListParagraph"/>
        <w:numPr>
          <w:ilvl w:val="0"/>
          <w:numId w:val="2"/>
        </w:numPr>
        <w:spacing w:after="60"/>
      </w:pPr>
      <w:r>
        <w:t xml:space="preserve">Déploiement initial des 12 conteneurs</w:t>
      </w:r>
    </w:p>
    <w:p>
      <w:pPr>
        <w:pStyle w:val="ListParagraph"/>
        <w:numPr>
          <w:ilvl w:val="0"/>
          <w:numId w:val="2"/>
        </w:numPr>
        <w:spacing w:after="60"/>
      </w:pPr>
      <w:r>
        <w:t xml:space="preserve">Configuration DNS, certificats TLS, sauvegardes</w:t>
      </w:r>
    </w:p>
    <w:p>
      <w:pPr>
        <w:pStyle w:val="ListParagraph"/>
        <w:numPr>
          <w:ilvl w:val="0"/>
          <w:numId w:val="2"/>
        </w:numPr>
        <w:spacing w:after="60"/>
      </w:pPr>
      <w:r>
        <w:t xml:space="preserve">Import des données de référence (maladies, points d'entrée)</w:t>
      </w:r>
    </w:p>
    <w:p>
      <w:pPr>
        <w:pStyle w:val="ListParagraph"/>
        <w:numPr>
          <w:ilvl w:val="0"/>
          <w:numId w:val="2"/>
        </w:numPr>
        <w:spacing w:after="60"/>
      </w:pPr>
      <w:r>
        <w:t xml:space="preserve">Tests de charge &amp; ajustements de performance</w:t>
      </w:r>
    </w:p>
    <w:p>
      <w:pPr>
        <w:pStyle w:val="ListParagraph"/>
        <w:numPr>
          <w:ilvl w:val="0"/>
          <w:numId w:val="2"/>
        </w:numPr>
        <w:spacing w:after="60"/>
      </w:pPr>
      <w:r>
        <w:t xml:space="preserve">Mise en service progressive (canary deployment)</w:t>
      </w:r>
    </w:p>
    <w:p>
      <w:pPr>
        <w:spacing w:after="100" w:before="280"/>
      </w:pPr>
      <w:r>
        <w:rPr>
          <w:b/>
          <w:bCs/>
          <w:color w:val="0B1820"/>
          <w:sz w:val="24"/>
          <w:szCs w:val="24"/>
        </w:rPr>
        <w:t xml:space="preserve">L9 — Formation des agents INHP &amp; MSHPCMU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20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7 000 000 FCFA</w:t>
            </w:r>
          </w:p>
        </w:tc>
      </w:tr>
    </w:tbl>
    <w:p>
      <w:pPr>
        <w:spacing w:after="60" w:before="120"/>
      </w:pPr>
      <w:r>
        <w:t xml:space="preserve">Livrables et prestations incluses :</w:t>
      </w:r>
    </w:p>
    <w:p>
      <w:pPr>
        <w:pStyle w:val="ListParagraph"/>
        <w:numPr>
          <w:ilvl w:val="0"/>
          <w:numId w:val="2"/>
        </w:numPr>
        <w:spacing w:after="60"/>
      </w:pPr>
      <w:r>
        <w:t xml:space="preserve">Session 1 — Administrateurs nationaux (2 jours, 8 personnes)</w:t>
      </w:r>
    </w:p>
    <w:p>
      <w:pPr>
        <w:pStyle w:val="ListParagraph"/>
        <w:numPr>
          <w:ilvl w:val="0"/>
          <w:numId w:val="2"/>
        </w:numPr>
        <w:spacing w:after="60"/>
      </w:pPr>
      <w:r>
        <w:t xml:space="preserve">Session 2 — Agents terrain &amp; districts (2 jours, 15 personnes)</w:t>
      </w:r>
    </w:p>
    <w:p>
      <w:pPr>
        <w:pStyle w:val="ListParagraph"/>
        <w:numPr>
          <w:ilvl w:val="0"/>
          <w:numId w:val="2"/>
        </w:numPr>
        <w:spacing w:after="60"/>
      </w:pPr>
      <w:r>
        <w:t xml:space="preserve">Session 3 — Responsables points d'entrée (1 jour, 12 personnes)</w:t>
      </w:r>
    </w:p>
    <w:p>
      <w:pPr>
        <w:pStyle w:val="ListParagraph"/>
        <w:numPr>
          <w:ilvl w:val="0"/>
          <w:numId w:val="2"/>
        </w:numPr>
        <w:spacing w:after="60"/>
      </w:pPr>
      <w:r>
        <w:t xml:space="preserve">Supports pédagogiques : guides PDF, vidéos tutoriels</w:t>
      </w:r>
    </w:p>
    <w:p>
      <w:pPr>
        <w:pStyle w:val="ListParagraph"/>
        <w:numPr>
          <w:ilvl w:val="0"/>
          <w:numId w:val="2"/>
        </w:numPr>
        <w:spacing w:after="60"/>
      </w:pPr>
      <w:r>
        <w:t xml:space="preserve">Manuel utilisateur illustré (60 pages)</w:t>
      </w:r>
    </w:p>
    <w:p>
      <w:pPr>
        <w:spacing w:after="100" w:before="280"/>
      </w:pPr>
      <w:r>
        <w:rPr>
          <w:b/>
          <w:bCs/>
          <w:color w:val="0B1820"/>
          <w:sz w:val="24"/>
          <w:szCs w:val="24"/>
        </w:rPr>
        <w:t xml:space="preserve">L10 — TMA &amp; support fonctionnel —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75 jours-homme</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30 000 000 FCFA</w:t>
            </w:r>
          </w:p>
        </w:tc>
      </w:tr>
    </w:tbl>
    <w:p>
      <w:pPr>
        <w:spacing w:after="60" w:before="120"/>
      </w:pPr>
      <w:r>
        <w:t xml:space="preserve">Livrables et prestations incluses :</w:t>
      </w:r>
    </w:p>
    <w:p>
      <w:pPr>
        <w:pStyle w:val="ListParagraph"/>
        <w:numPr>
          <w:ilvl w:val="0"/>
          <w:numId w:val="2"/>
        </w:numPr>
        <w:spacing w:after="60"/>
      </w:pPr>
      <w:r>
        <w:t xml:space="preserve">Maintenance corrective (anomalies bloquantes &lt; 4h, critiques &lt; 24h)</w:t>
      </w:r>
    </w:p>
    <w:p>
      <w:pPr>
        <w:pStyle w:val="ListParagraph"/>
        <w:numPr>
          <w:ilvl w:val="0"/>
          <w:numId w:val="2"/>
        </w:numPr>
        <w:spacing w:after="60"/>
      </w:pPr>
      <w:r>
        <w:t xml:space="preserve">Maintenance évolutive (5 j-h / mois inclus, soit 60 j-h annuels)</w:t>
      </w:r>
    </w:p>
    <w:p>
      <w:pPr>
        <w:pStyle w:val="ListParagraph"/>
        <w:numPr>
          <w:ilvl w:val="0"/>
          <w:numId w:val="2"/>
        </w:numPr>
        <w:spacing w:after="60"/>
      </w:pPr>
      <w:r>
        <w:t xml:space="preserve">Support fonctionnel utilisateurs (email + téléphone, 9h-18h)</w:t>
      </w:r>
    </w:p>
    <w:p>
      <w:pPr>
        <w:pStyle w:val="ListParagraph"/>
        <w:numPr>
          <w:ilvl w:val="0"/>
          <w:numId w:val="2"/>
        </w:numPr>
        <w:spacing w:after="60"/>
      </w:pPr>
      <w:r>
        <w:t xml:space="preserve">Astreinte critique 24/7 (numéro dédié, taux engagement 99%)</w:t>
      </w:r>
    </w:p>
    <w:p>
      <w:pPr>
        <w:pStyle w:val="ListParagraph"/>
        <w:numPr>
          <w:ilvl w:val="0"/>
          <w:numId w:val="2"/>
        </w:numPr>
        <w:spacing w:after="60"/>
      </w:pPr>
      <w:r>
        <w:t xml:space="preserve">Mises à jour de sécurité (patches OS, librairies)</w:t>
      </w:r>
    </w:p>
    <w:p>
      <w:pPr>
        <w:pStyle w:val="ListParagraph"/>
        <w:numPr>
          <w:ilvl w:val="0"/>
          <w:numId w:val="2"/>
        </w:numPr>
        <w:spacing w:after="60"/>
      </w:pPr>
      <w:r>
        <w:t xml:space="preserve">Rapport mensuel d'activité &amp; métriques de qualité de service</w:t>
      </w:r>
    </w:p>
    <w:p>
      <w:pPr>
        <w:spacing w:after="100" w:before="280"/>
      </w:pPr>
      <w:r>
        <w:rPr>
          <w:b/>
          <w:bCs/>
          <w:color w:val="0B1820"/>
          <w:sz w:val="24"/>
          <w:szCs w:val="24"/>
        </w:rPr>
        <w:t xml:space="preserve">L11 — Hébergement &amp; supervision —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Charge</w:t>
            </w:r>
          </w:p>
        </w:tc>
        <w:tc>
          <w:tcPr>
            <w:tcW w:type="dxa" w:w="300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Forfait annuel</w:t>
            </w:r>
          </w:p>
        </w:tc>
        <w:tc>
          <w:tcPr>
            <w:tcW w:type="dxa" w:w="33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7F00"/>
                <w:sz w:val="24"/>
                <w:szCs w:val="24"/>
              </w:rPr>
              <w:t xml:space="preserve">4 000 000 FCFA</w:t>
            </w:r>
          </w:p>
        </w:tc>
      </w:tr>
    </w:tbl>
    <w:p>
      <w:pPr>
        <w:spacing w:after="60" w:before="120"/>
      </w:pPr>
      <w:r>
        <w:t xml:space="preserve">Livrables et prestations incluses :</w:t>
      </w:r>
    </w:p>
    <w:p>
      <w:pPr>
        <w:pStyle w:val="ListParagraph"/>
        <w:numPr>
          <w:ilvl w:val="0"/>
          <w:numId w:val="2"/>
        </w:numPr>
        <w:spacing w:after="60"/>
      </w:pPr>
      <w:r>
        <w:t xml:space="preserve">Serveur dédié haute disponibilité (8 vCPU, 32 Go RAM, 500 Go SSD)</w:t>
      </w:r>
    </w:p>
    <w:p>
      <w:pPr>
        <w:pStyle w:val="ListParagraph"/>
        <w:numPr>
          <w:ilvl w:val="0"/>
          <w:numId w:val="2"/>
        </w:numPr>
        <w:spacing w:after="60"/>
      </w:pPr>
      <w:r>
        <w:t xml:space="preserve">Sauvegardes automatiques quotidiennes (chiffrées, 30j de rétention)</w:t>
      </w:r>
    </w:p>
    <w:p>
      <w:pPr>
        <w:pStyle w:val="ListParagraph"/>
        <w:numPr>
          <w:ilvl w:val="0"/>
          <w:numId w:val="2"/>
        </w:numPr>
        <w:spacing w:after="60"/>
      </w:pPr>
      <w:r>
        <w:t xml:space="preserve">Réplication off-site (objet S3 compatible, J+1)</w:t>
      </w:r>
    </w:p>
    <w:p>
      <w:pPr>
        <w:pStyle w:val="ListParagraph"/>
        <w:numPr>
          <w:ilvl w:val="0"/>
          <w:numId w:val="2"/>
        </w:numPr>
        <w:spacing w:after="60"/>
      </w:pPr>
      <w:r>
        <w:t xml:space="preserve">Bande passante 1 Gbps illimitée, DDoS protection</w:t>
      </w:r>
    </w:p>
    <w:p>
      <w:pPr>
        <w:pStyle w:val="ListParagraph"/>
        <w:numPr>
          <w:ilvl w:val="0"/>
          <w:numId w:val="2"/>
        </w:numPr>
        <w:spacing w:after="60"/>
      </w:pPr>
      <w:r>
        <w:t xml:space="preserve">Supervision 24/7 (monitoring + alerting + remédiation auto)</w:t>
      </w:r>
    </w:p>
    <w:p>
      <w:r>
        <w:br w:type="page"/>
      </w:r>
    </w:p>
    <w:p>
      <w:pPr>
        <w:pStyle w:val="Heading1"/>
        <w:spacing w:after="200" w:before="360"/>
      </w:pPr>
      <w:r>
        <w:t xml:space="preserve">9. Modalités de paiement</w:t>
      </w:r>
    </w:p>
    <w:p>
      <w:pPr>
        <w:spacing w:after="100"/>
      </w:pPr>
      <w:r>
        <w:t xml:space="preserve">Le règlement de la prestation est fractionné en quatre échéances, indexées sur les jalons contractuels. Toutes les factures sont émises HT + TVA 18% et payables à 30 jours fin de mois par virement bancaire.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200"/>
        <w:gridCol w:w="3000"/>
      </w:tblGrid>
      <w:tr>
        <w:trPr>
          <w:tblHeader/>
        </w:trPr>
        <w:tc>
          <w:tcPr>
            <w:tcW w:type="dxa" w:w="516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r>
              <w:rPr>
                <w:b/>
                <w:bCs/>
                <w:color w:val="FFFFFF"/>
                <w:sz w:val="20"/>
                <w:szCs w:val="20"/>
              </w:rPr>
              <w:t xml:space="preserve">Échéance</w:t>
            </w:r>
          </w:p>
        </w:tc>
        <w:tc>
          <w:tcPr>
            <w:tcW w:type="dxa" w:w="12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center"/>
            </w:pPr>
            <w:r>
              <w:rPr>
                <w:b/>
                <w:bCs/>
                <w:color w:val="FFFFFF"/>
                <w:sz w:val="20"/>
                <w:szCs w:val="20"/>
              </w:rPr>
              <w:t xml:space="preserve">% TTC</w:t>
            </w:r>
          </w:p>
        </w:tc>
        <w:tc>
          <w:tcPr>
            <w:tcW w:type="dxa" w:w="3000"/>
            <w:tcBorders>
              <w:top w:val="single" w:color="E2E8F0" w:sz="6"/>
              <w:left w:val="single" w:color="E2E8F0" w:sz="6"/>
              <w:bottom w:val="single" w:color="E2E8F0" w:sz="6"/>
              <w:right w:val="single" w:color="E2E8F0" w:sz="6"/>
            </w:tcBorders>
            <w:shd w:fill="0B1820" w:color="auto" w:val="clear"/>
            <w:tcMar>
              <w:top w:type="dxa" w:w="100"/>
              <w:left w:type="dxa" w:w="140"/>
              <w:bottom w:type="dxa" w:w="100"/>
              <w:right w:type="dxa" w:w="140"/>
            </w:tcMar>
            <w:vAlign w:val="top"/>
          </w:tcPr>
          <w:p>
            <w:pPr>
              <w:jc w:val="right"/>
            </w:pPr>
            <w:r>
              <w:rPr>
                <w:b/>
                <w:bCs/>
                <w:color w:val="FFFFFF"/>
                <w:sz w:val="20"/>
                <w:szCs w:val="20"/>
              </w:rPr>
              <w:t xml:space="preserve">Montant (FCFA TTC)</w:t>
            </w:r>
          </w:p>
        </w:tc>
      </w:tr>
      <w:tr>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Acompte à la signature du contrat</w:t>
            </w:r>
          </w:p>
        </w:tc>
        <w:tc>
          <w:tcPr>
            <w:tcW w:type="dxa" w:w="12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30 %</w:t>
            </w:r>
          </w:p>
        </w:tc>
        <w:tc>
          <w:tcPr>
            <w:tcW w:type="dxa" w:w="30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63 720 000</w:t>
            </w:r>
          </w:p>
        </w:tc>
      </w:tr>
      <w:tr>
        <w:tc>
          <w:tcPr>
            <w:tcW w:type="dxa" w:w="51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Livraison MVP (fin Sprint 6 — M+3)</w:t>
            </w:r>
          </w:p>
        </w:tc>
        <w:tc>
          <w:tcPr>
            <w:tcW w:type="dxa" w:w="12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sz w:val="20"/>
                <w:szCs w:val="20"/>
              </w:rPr>
              <w:t xml:space="preserve">30 %</w:t>
            </w:r>
          </w:p>
        </w:tc>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0"/>
                <w:szCs w:val="20"/>
              </w:rPr>
              <w:t xml:space="preserve">63 720 000</w:t>
            </w:r>
          </w:p>
        </w:tc>
      </w:tr>
      <w:tr>
        <w:tc>
          <w:tcPr>
            <w:tcW w:type="dxa" w:w="516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r>
              <w:rPr>
                <w:b/>
                <w:bCs/>
                <w:sz w:val="20"/>
                <w:szCs w:val="20"/>
              </w:rPr>
              <w:t xml:space="preserve">Recette définitive VABF (M+6)</w:t>
            </w:r>
          </w:p>
        </w:tc>
        <w:tc>
          <w:tcPr>
            <w:tcW w:type="dxa" w:w="12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center"/>
            </w:pPr>
            <w:r>
              <w:rPr>
                <w:sz w:val="20"/>
                <w:szCs w:val="20"/>
              </w:rPr>
              <w:t xml:space="preserve">30 %</w:t>
            </w:r>
          </w:p>
        </w:tc>
        <w:tc>
          <w:tcPr>
            <w:tcW w:type="dxa" w:w="3000"/>
            <w:tcBorders>
              <w:top w:val="single" w:color="E2E8F0" w:sz="6"/>
              <w:left w:val="single" w:color="E2E8F0" w:sz="6"/>
              <w:bottom w:val="single" w:color="E2E8F0" w:sz="6"/>
              <w:right w:val="single" w:color="E2E8F0" w:sz="6"/>
            </w:tcBorders>
            <w:shd w:fill="FFFFFF" w:color="auto" w:val="clear"/>
            <w:tcMar>
              <w:top w:type="dxa" w:w="100"/>
              <w:left w:type="dxa" w:w="140"/>
              <w:bottom w:type="dxa" w:w="100"/>
              <w:right w:type="dxa" w:w="140"/>
            </w:tcMar>
            <w:vAlign w:val="top"/>
          </w:tcPr>
          <w:p>
            <w:pPr>
              <w:jc w:val="right"/>
            </w:pPr>
            <w:r>
              <w:rPr>
                <w:b/>
                <w:bCs/>
                <w:sz w:val="20"/>
                <w:szCs w:val="20"/>
              </w:rPr>
              <w:t xml:space="preserve">63 720 000</w:t>
            </w:r>
          </w:p>
        </w:tc>
      </w:tr>
      <w:tr>
        <w:tc>
          <w:tcPr>
            <w:tcW w:type="dxa" w:w="516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r>
              <w:rPr>
                <w:b/>
                <w:bCs/>
                <w:sz w:val="20"/>
                <w:szCs w:val="20"/>
              </w:rPr>
              <w:t xml:space="preserve">Fin de période de garantie (M+18)</w:t>
            </w:r>
          </w:p>
        </w:tc>
        <w:tc>
          <w:tcPr>
            <w:tcW w:type="dxa" w:w="12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center"/>
            </w:pPr>
            <w:r>
              <w:rPr>
                <w:sz w:val="20"/>
                <w:szCs w:val="20"/>
              </w:rPr>
              <w:t xml:space="preserve">10 %</w:t>
            </w:r>
          </w:p>
        </w:tc>
        <w:tc>
          <w:tcPr>
            <w:tcW w:type="dxa" w:w="3000"/>
            <w:tcBorders>
              <w:top w:val="single" w:color="E2E8F0" w:sz="6"/>
              <w:left w:val="single" w:color="E2E8F0" w:sz="6"/>
              <w:bottom w:val="single" w:color="E2E8F0" w:sz="6"/>
              <w:right w:val="single" w:color="E2E8F0" w:sz="6"/>
            </w:tcBorders>
            <w:shd w:fill="F8FAFC" w:color="auto" w:val="clear"/>
            <w:tcMar>
              <w:top w:type="dxa" w:w="100"/>
              <w:left w:type="dxa" w:w="140"/>
              <w:bottom w:type="dxa" w:w="100"/>
              <w:right w:type="dxa" w:w="140"/>
            </w:tcMar>
            <w:vAlign w:val="top"/>
          </w:tcPr>
          <w:p>
            <w:pPr>
              <w:jc w:val="right"/>
            </w:pPr>
            <w:r>
              <w:rPr>
                <w:b/>
                <w:bCs/>
                <w:sz w:val="20"/>
                <w:szCs w:val="20"/>
              </w:rPr>
              <w:t xml:space="preserve">21 240 000</w:t>
            </w:r>
          </w:p>
        </w:tc>
      </w:tr>
      <w:tr>
        <w:tc>
          <w:tcPr>
            <w:tcW w:type="dxa" w:w="636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top"/>
          </w:tcPr>
          <w:p>
            <w:pPr>
              <w:jc w:val="right"/>
            </w:pPr>
            <w:r>
              <w:rPr>
                <w:b/>
                <w:bCs/>
                <w:color w:val="FFFFFF"/>
                <w:sz w:val="24"/>
                <w:szCs w:val="24"/>
              </w:rPr>
              <w:t xml:space="preserve">TOTAL TTC</w:t>
            </w:r>
          </w:p>
        </w:tc>
        <w:tc>
          <w:tcPr>
            <w:tcW w:type="dxa" w:w="300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top"/>
          </w:tcPr>
          <w:p>
            <w:pPr>
              <w:jc w:val="right"/>
            </w:pPr>
            <w:r>
              <w:rPr>
                <w:b/>
                <w:bCs/>
                <w:color w:val="FFFFFF"/>
                <w:sz w:val="24"/>
                <w:szCs w:val="24"/>
              </w:rPr>
              <w:t xml:space="preserve">212 400 000</w:t>
            </w:r>
          </w:p>
        </w:tc>
      </w:tr>
    </w:tbl>
    <w:p>
      <w:pPr>
        <w:spacing w:after="200" w:before="200"/>
      </w:pPr>
      <w:r>
        <w:t xml:space="preserve"/>
      </w:r>
    </w:p>
    <w:p>
      <w:pPr>
        <w:spacing w:after="100"/>
      </w:pPr>
      <w:r>
        <w:rPr>
          <w:b/>
          <w:bCs/>
        </w:rPr>
        <w:t xml:space="preserve">Coordonnées bancaires Afriq Consulting :</w:t>
      </w:r>
    </w:p>
    <w:p>
      <w:pPr>
        <w:pStyle w:val="ListParagraph"/>
        <w:numPr>
          <w:ilvl w:val="0"/>
          <w:numId w:val="2"/>
        </w:numPr>
        <w:spacing w:after="60"/>
      </w:pPr>
      <w:r>
        <w:t xml:space="preserve">Banque : à préciser sur la facture pro forma</w:t>
      </w:r>
    </w:p>
    <w:p>
      <w:pPr>
        <w:pStyle w:val="ListParagraph"/>
        <w:numPr>
          <w:ilvl w:val="0"/>
          <w:numId w:val="2"/>
        </w:numPr>
        <w:spacing w:after="60"/>
      </w:pPr>
      <w:r>
        <w:t xml:space="preserve">Compte / IBAN : à transmettre à la signature du contrat</w:t>
      </w:r>
    </w:p>
    <w:p>
      <w:pPr>
        <w:pStyle w:val="ListParagraph"/>
        <w:numPr>
          <w:ilvl w:val="0"/>
          <w:numId w:val="2"/>
        </w:numPr>
        <w:spacing w:after="60"/>
      </w:pPr>
      <w:r>
        <w:t xml:space="preserve">Devise de règlement : Franc CFA BCEAO (XOF)</w:t>
      </w:r>
    </w:p>
    <w:p>
      <w:r>
        <w:br w:type="page"/>
      </w:r>
    </w:p>
    <w:p>
      <w:pPr>
        <w:pStyle w:val="Heading1"/>
        <w:spacing w:after="200" w:before="360"/>
      </w:pPr>
      <w:r>
        <w:t xml:space="preserve">10. Conditions générales</w:t>
      </w:r>
    </w:p>
    <w:p>
      <w:pPr>
        <w:pStyle w:val="Heading3"/>
        <w:spacing w:after="100" w:before="200"/>
      </w:pPr>
      <w:r>
        <w:t xml:space="preserve">10.1 Propriété intellectuelle</w:t>
      </w:r>
    </w:p>
    <w:p>
      <w:pPr>
        <w:spacing w:after="100"/>
      </w:pPr>
      <w:r>
        <w:t xml:space="preserve">À l'issue de la recette définitive (VABF) et après règlement intégral, l'ensemble du code source, des spécifications, des supports de formation et de la documentation devient la propriété pleine et entière du MSHPCMU. Afriq Consulting conserve un droit moral de citation à des fins de référence commerciale, sans divulgation de données confidentielles.</w:t>
      </w:r>
    </w:p>
    <w:p>
      <w:pPr>
        <w:pStyle w:val="Heading3"/>
        <w:spacing w:after="100" w:before="200"/>
      </w:pPr>
      <w:r>
        <w:t xml:space="preserve">10.2 Confidentialité</w:t>
      </w:r>
    </w:p>
    <w:p>
      <w:pPr>
        <w:spacing w:after="100"/>
      </w:pPr>
      <w:r>
        <w:t xml:space="preserve">Afriq Consulting s'engage à respecter une confidentialité absolue sur toutes les données traitées dans le cadre du projet, y compris après la fin du contrat. Un accord de non-divulgation (NDA) sera signé conjointement à la commande.</w:t>
      </w:r>
    </w:p>
    <w:p>
      <w:pPr>
        <w:pStyle w:val="Heading3"/>
        <w:spacing w:after="100" w:before="200"/>
      </w:pPr>
      <w:r>
        <w:t xml:space="preserve">10.3 Protection des données personnelles</w:t>
      </w:r>
    </w:p>
    <w:p>
      <w:pPr>
        <w:spacing w:after="100"/>
      </w:pPr>
      <w:r>
        <w:t xml:space="preserve">La plateforme est conçue selon les principes du Privacy by Design et conforme au Règlement Général sur la Protection des Données (RGPD) ainsi qu'à la loi ivoirienne n° 2013-450 du 19 juin 2013. Une Analyse d'Impact relative à la Protection des Données (DPIA) est livrée avec la solution.</w:t>
      </w:r>
    </w:p>
    <w:p>
      <w:pPr>
        <w:pStyle w:val="Heading3"/>
        <w:spacing w:after="100" w:before="200"/>
      </w:pPr>
      <w:r>
        <w:t xml:space="preserve">10.4 Garantie &amp; SLA</w:t>
      </w:r>
    </w:p>
    <w:p>
      <w:pPr>
        <w:spacing w:after="100"/>
      </w:pPr>
      <w:r>
        <w:t xml:space="preserve">La période de garantie couvre 12 mois après la recette définitive (VABF). Pendant cette période, les anomalies bloquantes sont corrigées sans surcoût.</w:t>
      </w:r>
    </w:p>
    <w:p>
      <w:pPr>
        <w:pStyle w:val="ListParagraph"/>
        <w:numPr>
          <w:ilvl w:val="0"/>
          <w:numId w:val="2"/>
        </w:numPr>
        <w:spacing w:after="60"/>
      </w:pPr>
      <w:r>
        <w:t xml:space="preserve">Anomalie bloquante (P1) : prise en charge &lt; 2h, résolution &lt; 4h</w:t>
      </w:r>
    </w:p>
    <w:p>
      <w:pPr>
        <w:pStyle w:val="ListParagraph"/>
        <w:numPr>
          <w:ilvl w:val="0"/>
          <w:numId w:val="2"/>
        </w:numPr>
        <w:spacing w:after="60"/>
      </w:pPr>
      <w:r>
        <w:t xml:space="preserve">Anomalie critique (P2) : prise en charge &lt; 4h, résolution &lt; 24h</w:t>
      </w:r>
    </w:p>
    <w:p>
      <w:pPr>
        <w:pStyle w:val="ListParagraph"/>
        <w:numPr>
          <w:ilvl w:val="0"/>
          <w:numId w:val="2"/>
        </w:numPr>
        <w:spacing w:after="60"/>
      </w:pPr>
      <w:r>
        <w:t xml:space="preserve">Anomalie majeure (P3) : résolution &lt; 5 jours ouvrés</w:t>
      </w:r>
    </w:p>
    <w:p>
      <w:pPr>
        <w:pStyle w:val="ListParagraph"/>
        <w:numPr>
          <w:ilvl w:val="0"/>
          <w:numId w:val="2"/>
        </w:numPr>
        <w:spacing w:after="60"/>
      </w:pPr>
      <w:r>
        <w:t xml:space="preserve">Disponibilité plateforme : 99,5% / an (hors maintenance planifiée)</w:t>
      </w:r>
    </w:p>
    <w:p>
      <w:pPr>
        <w:pStyle w:val="Heading3"/>
        <w:spacing w:after="100" w:before="200"/>
      </w:pPr>
      <w:r>
        <w:t xml:space="preserve">10.5 Transfert de compétences</w:t>
      </w:r>
    </w:p>
    <w:p>
      <w:pPr>
        <w:spacing w:after="100"/>
      </w:pPr>
      <w:r>
        <w:t xml:space="preserve">Une session de transfert technique de 5 jours est incluse en fin de prestation, à destination de 3 développeurs / administrateurs INHP. Code source documenté, runbooks d'exploitation, accès aux dépôts Git internes.</w:t>
      </w:r>
    </w:p>
    <w:p>
      <w:pPr>
        <w:pStyle w:val="Heading3"/>
        <w:spacing w:after="100" w:before="200"/>
      </w:pPr>
      <w:r>
        <w:t xml:space="preserve">10.6 Sous-traitance</w:t>
      </w:r>
    </w:p>
    <w:p>
      <w:pPr>
        <w:spacing w:after="100"/>
      </w:pPr>
      <w:r>
        <w:t xml:space="preserve">Toute sous-traitance éventuelle reste sous la responsabilité contractuelle d'Afriq Consulting et requiert l'accord préalable écrit du MSHPCMU.</w:t>
      </w:r>
    </w:p>
    <w:p>
      <w:pPr>
        <w:pStyle w:val="Heading3"/>
        <w:spacing w:after="100" w:before="200"/>
      </w:pPr>
      <w:r>
        <w:t xml:space="preserve">10.7 Résiliation</w:t>
      </w:r>
    </w:p>
    <w:p>
      <w:pPr>
        <w:spacing w:after="100"/>
      </w:pPr>
      <w:r>
        <w:t xml:space="preserve">En cas de manquement grave constaté par mise en demeure non suivie d'effet sous 30 jours, chaque partie peut résilier le contrat. Les prestations réalisées et acceptées restent dues.</w:t>
      </w:r>
    </w:p>
    <w:p>
      <w:pPr>
        <w:pStyle w:val="Heading3"/>
        <w:spacing w:after="100" w:before="200"/>
      </w:pPr>
      <w:r>
        <w:t xml:space="preserve">10.8 Loi applicable</w:t>
      </w:r>
    </w:p>
    <w:p>
      <w:pPr>
        <w:spacing w:after="100"/>
      </w:pPr>
      <w:r>
        <w:t xml:space="preserve">Le présent contrat est régi par le droit ivoirien. Tout litige sera porté devant les juridictions compétentes d'Abidjan, après tentative de règlement amiable.</w:t>
      </w:r>
    </w:p>
    <w:p>
      <w:r>
        <w:br w:type="page"/>
      </w:r>
    </w:p>
    <w:p>
      <w:pPr>
        <w:pStyle w:val="Heading1"/>
        <w:spacing w:after="200" w:before="360"/>
      </w:pPr>
      <w:r>
        <w:t xml:space="preserve">11. Validité de l'offre &amp; signature</w:t>
      </w:r>
    </w:p>
    <w:p>
      <w:pPr>
        <w:spacing w:after="100"/>
      </w:pPr>
      <w:r>
        <w:t xml:space="preserve">La présente offre est ferme et définitive pour une durée de 90 jours à compter du 22 mai 2026. Au-delà de cette date, Afriq Consulting se réserve la possibilité de revoir les conditions tarifaires en fonction de l'évolution des coûts (personnel, infrastructure, taxes).</w:t>
      </w:r>
    </w:p>
    <w:p>
      <w:pPr>
        <w:spacing w:after="400" w:before="400"/>
      </w:pPr>
      <w:r>
        <w:t xml:space="preserve"/>
      </w:r>
    </w:p>
    <w:p>
      <w:pPr>
        <w:spacing w:after="100"/>
      </w:pPr>
      <w:r>
        <w:rPr>
          <w:i/>
          <w:iCs/>
        </w:rPr>
        <w:t xml:space="preserve">Pour acceptation, mention manuscrite « Bon pour accord » suivie de la date et de la signature, à retourner à l'adresse :</w:t>
      </w:r>
    </w:p>
    <w:p>
      <w:pPr>
        <w:pStyle w:val="ListParagraph"/>
        <w:numPr>
          <w:ilvl w:val="0"/>
          <w:numId w:val="2"/>
        </w:numPr>
        <w:spacing w:after="60"/>
      </w:pPr>
      <w:r>
        <w:t xml:space="preserve">Email : commercial@afriqconsulting.com</w:t>
      </w:r>
    </w:p>
    <w:p>
      <w:pPr>
        <w:pStyle w:val="ListParagraph"/>
        <w:numPr>
          <w:ilvl w:val="0"/>
          <w:numId w:val="2"/>
        </w:numPr>
        <w:spacing w:after="60"/>
      </w:pPr>
      <w:r>
        <w:t xml:space="preserve">Adresse postale : Afriq Consulting, Abidjan, Côte d'Ivoire</w:t>
      </w:r>
    </w:p>
    <w:p>
      <w:pPr>
        <w:spacing w:after="60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6"/>
              <w:left w:val="single" w:color="E2E8F0" w:sz="6"/>
              <w:bottom w:val="single" w:color="E2E8F0" w:sz="6"/>
              <w:right w:val="single" w:color="E2E8F0" w:sz="6"/>
            </w:tcBorders>
            <w:shd w:fill="009E60" w:color="auto" w:val="clear"/>
            <w:tcMar>
              <w:top w:type="dxa" w:w="100"/>
              <w:left w:type="dxa" w:w="140"/>
              <w:bottom w:type="dxa" w:w="100"/>
              <w:right w:type="dxa" w:w="140"/>
            </w:tcMar>
            <w:vAlign w:val="top"/>
          </w:tcPr>
          <w:p>
            <w:pPr>
              <w:jc w:val="center"/>
            </w:pPr>
            <w:r>
              <w:rPr>
                <w:b/>
                <w:bCs/>
                <w:color w:val="FFFFFF"/>
                <w:sz w:val="20"/>
                <w:szCs w:val="20"/>
              </w:rPr>
              <w:t xml:space="preserve">Pour Afriq Consulting</w:t>
            </w:r>
          </w:p>
        </w:tc>
        <w:tc>
          <w:tcPr>
            <w:tcW w:type="dxa" w:w="4680"/>
            <w:tcBorders>
              <w:top w:val="single" w:color="E2E8F0" w:sz="6"/>
              <w:left w:val="single" w:color="E2E8F0" w:sz="6"/>
              <w:bottom w:val="single" w:color="E2E8F0" w:sz="6"/>
              <w:right w:val="single" w:color="E2E8F0" w:sz="6"/>
            </w:tcBorders>
            <w:shd w:fill="FF7F00" w:color="auto" w:val="clear"/>
            <w:tcMar>
              <w:top w:type="dxa" w:w="100"/>
              <w:left w:type="dxa" w:w="140"/>
              <w:bottom w:type="dxa" w:w="100"/>
              <w:right w:type="dxa" w:w="140"/>
            </w:tcMar>
            <w:vAlign w:val="top"/>
          </w:tcPr>
          <w:p>
            <w:pPr>
              <w:jc w:val="center"/>
            </w:pPr>
            <w:r>
              <w:rPr>
                <w:b/>
                <w:bCs/>
                <w:color w:val="FFFFFF"/>
                <w:sz w:val="20"/>
                <w:szCs w:val="20"/>
              </w:rPr>
              <w:t xml:space="preserve">Pour le MSHPCMU / INHP</w:t>
            </w:r>
          </w:p>
        </w:tc>
      </w:tr>
      <w:tr>
        <w:tc>
          <w:tcPr>
            <w:tcW w:type="dxa" w:w="468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
Nom :
Fonction :
Date :
Signature &amp; cachet :
</w:t>
            </w:r>
          </w:p>
        </w:tc>
        <w:tc>
          <w:tcPr>
            <w:tcW w:type="dxa" w:w="4680"/>
            <w:tcBorders>
              <w:top w:val="single" w:color="E2E8F0" w:sz="6"/>
              <w:left w:val="single" w:color="E2E8F0" w:sz="6"/>
              <w:bottom w:val="single" w:color="E2E8F0" w:sz="6"/>
              <w:right w:val="single" w:color="E2E8F0" w:sz="6"/>
            </w:tcBorders>
            <w:tcMar>
              <w:top w:type="dxa" w:w="100"/>
              <w:left w:type="dxa" w:w="140"/>
              <w:bottom w:type="dxa" w:w="100"/>
              <w:right w:type="dxa" w:w="140"/>
            </w:tcMar>
            <w:vAlign w:val="top"/>
          </w:tcPr>
          <w:p>
            <w:r>
              <w:rPr>
                <w:sz w:val="20"/>
                <w:szCs w:val="20"/>
              </w:rPr>
              <w:t xml:space="preserve">
Nom :
Fonction :
Date :
Signature &amp; cachet :
</w:t>
            </w:r>
          </w:p>
        </w:tc>
      </w:tr>
    </w:tbl>
    <w:p>
      <w:pPr>
        <w:spacing w:after="400" w:before="400"/>
      </w:pPr>
      <w:r>
        <w:t xml:space="preserve"/>
      </w:r>
    </w:p>
    <w:p>
      <w:pPr>
        <w:spacing w:after="100"/>
        <w:jc w:val="center"/>
      </w:pPr>
      <w:r>
        <w:rPr>
          <w:i/>
          <w:iCs/>
          <w:color w:val="64748B"/>
        </w:rPr>
        <w:t xml:space="preserve">— Fin de l'offre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tabs>
        <w:tab w:val="right" w:pos="9026"/>
      </w:tabs>
      <w:spacing w:before="120"/>
    </w:pPr>
    <w:r>
      <w:rPr>
        <w:color w:val="64748B"/>
        <w:sz w:val="16"/>
        <w:szCs w:val="16"/>
      </w:rPr>
      <w:t xml:space="preserve">Réf. AC-2026-INHP-EPITRACE-001 — 22 mai 2026</w:t>
    </w:r>
    <w:r>
      <w:t xml:space="preserve">	Page </w:t>
    </w:r>
    <w:r>
      <w:rPr>
        <w:sz w:val="16"/>
        <w:szCs w:val="16"/>
      </w:rPr>
      <w:fldChar w:fldCharType="begin"/>
      <w:instrText xml:space="preserve">PAGE</w:instrText>
      <w:fldChar w:fldCharType="separate"/>
      <w:fldChar w:fldCharType="end"/>
    </w:r>
    <w: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tabs>
        <w:tab w:val="right" w:pos="9026"/>
      </w:tabs>
      <w:spacing w:after="120"/>
    </w:pPr>
    <w:r>
      <w:rPr>
        <w:b/>
        <w:bCs/>
        <w:color w:val="009E60"/>
        <w:sz w:val="18"/>
        <w:szCs w:val="18"/>
      </w:rPr>
      <w:t xml:space="preserve">Afriq Consulting</w:t>
    </w:r>
    <w:r>
      <w:rPr>
        <w:color w:val="64748B"/>
        <w:sz w:val="18"/>
        <w:szCs w:val="18"/>
      </w:rPr>
      <w:t xml:space="preserve">	Offre financière — EpiTrace pour MSHPCMU / INHP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7F00" w:sz="12" w:space="4"/>
      </w:pBdr>
      <w:spacing w:after="200" w:before="360"/>
      <w:outlineLvl w:val="0"/>
    </w:pPr>
    <w:rPr>
      <w:rFonts w:ascii="Calibri" w:cs="Calibri" w:eastAsia="Calibri" w:hAnsi="Calibri"/>
      <w:b/>
      <w:bCs/>
      <w:color w:val="0B182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09E6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B18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financière EpiTrace — MSHPCMU / INHP</dc:title>
  <dc:creator>Afriq Consulting</dc:creator>
  <dc:description>Offre financière clé-en-main — réf. AC-2026-INHP-EPITRACE-001</dc:description>
  <cp:lastModifiedBy>Un-named</cp:lastModifiedBy>
  <cp:revision>1</cp:revision>
  <dcterms:created xsi:type="dcterms:W3CDTF">2026-05-22T22:37:22.755Z</dcterms:created>
  <dcterms:modified xsi:type="dcterms:W3CDTF">2026-05-22T22:37:22.755Z</dcterms:modified>
</cp:coreProperties>
</file>

<file path=docProps/custom.xml><?xml version="1.0" encoding="utf-8"?>
<Properties xmlns="http://schemas.openxmlformats.org/officeDocument/2006/custom-properties" xmlns:vt="http://schemas.openxmlformats.org/officeDocument/2006/docPropsVTypes"/>
</file>