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4E79"/>
          <w:sz w:val="48"/>
          <w:szCs w:val="48"/>
        </w:rPr>
        <w:t xml:space="preserve">Guide d'utilisation d'OStack</w:t>
      </w:r>
    </w:p>
    <w:p>
      <w:pPr>
        <w:spacing w:after="60"/>
      </w:pPr>
      <w:r>
        <w:rPr>
          <w:color w:val="555555"/>
          <w:sz w:val="26"/>
          <w:szCs w:val="26"/>
        </w:rPr>
        <w:t xml:space="preserve">Claude Code · ChatGPT · Codex · Cursor · terminal</w:t>
      </w:r>
    </w:p>
    <w:p>
      <w:pPr>
        <w:pBdr>
          <w:bottom w:val="single" w:color="1F4E79" w:sz="8" w:space="8"/>
        </w:pBdr>
        <w:spacing w:after="240"/>
      </w:pPr>
      <w:r>
        <w:rPr>
          <w:i/>
          <w:iCs/>
          <w:color w:val="777777"/>
          <w:sz w:val="20"/>
          <w:szCs w:val="20"/>
        </w:rPr>
        <w:t xml:space="preserve">Framework d'ingénierie vérifiée — 33 commandes, 9 agents installés (28 catalogués)</w:t>
      </w:r>
    </w:p>
    <w:p>
      <w:pPr>
        <w:spacing w:after="120"/>
      </w:pPr>
      <w:r>
        <w:t xml:space="preserve">OStack s'installe </w:t>
      </w:r>
      <w:r>
        <w:rPr>
          <w:b/>
          <w:bCs/>
        </w:rPr>
        <w:t xml:space="preserve">dans</w:t>
      </w:r>
      <w:r>
        <w:t xml:space="preserve"> un projet et se pilote depuis votre assistant IA ou en terminal. Sa promesse : rien n'est « terminé » sans une </w:t>
      </w:r>
      <w:r>
        <w:rPr>
          <w:b/>
          <w:bCs/>
        </w:rPr>
        <w:t xml:space="preserve">preuve exécutée</w:t>
      </w:r>
      <w:r>
        <w:t xml:space="preserve">. Ce guide couvre l'installation par assistant et les 33 commandes, avec leur rôle.</w:t>
      </w:r>
    </w:p>
    <w:p>
      <w:pPr>
        <w:pBdr>
          <w:left w:val="single" w:color="E0B000" w:sz="18" w:space="8"/>
        </w:pBdr>
        <w:shd w:fill="FBF3D6" w:color="auto" w:val="clear"/>
        <w:spacing w:after="200" w:before="80"/>
      </w:pPr>
      <w:r>
        <w:rPr>
          <w:i/>
          <w:iCs/>
          <w:sz w:val="20"/>
          <w:szCs w:val="20"/>
        </w:rPr>
        <w:t xml:space="preserve">Principe fondateur : toute affirmation de réussite doit être adossée à une preuve exécutée via la commande ostack. Les sorties de modèles sont des données non fiables ; les moteurs de vérification sont déterministes et neutres vis-à-vis du fournisseur.</w:t>
      </w:r>
    </w:p>
    <w:p>
      <w:pPr>
        <w:pStyle w:val="Heading1"/>
        <w:spacing w:after="120" w:before="240"/>
      </w:pPr>
      <w:r>
        <w:t xml:space="preserve">1. Installer l'outil (une fois par machine)</w:t>
      </w:r>
    </w:p>
    <w:p>
      <w:pPr>
        <w:pBdr>
          <w:left w:val="single" w:color="1F4E79" w:sz="12" w:space="6"/>
        </w:pBdr>
        <w:shd w:fill="F5F5F5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git clone https://github.com/sergehoo/ostack.git</w:t>
      </w:r>
    </w:p>
    <w:p>
      <w:pPr>
        <w:pBdr>
          <w:left w:val="single" w:color="1F4E79" w:sz="12" w:space="6"/>
        </w:pBd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cd ostack &amp;&amp; npm install &amp;&amp; npm run build</w:t>
      </w:r>
    </w:p>
    <w:p>
      <w:pPr>
        <w:pBdr>
          <w:left w:val="single" w:color="1F4E79" w:sz="12" w:space="6"/>
        </w:pBdr>
        <w:shd w:fill="F5F5F5" w:color="auto" w:val="clear"/>
        <w:spacing w:after="120" w:before="0"/>
      </w:pPr>
      <w:r>
        <w:rPr>
          <w:rFonts w:ascii="Consolas" w:cs="Consolas" w:eastAsia="Consolas" w:hAnsi="Consolas"/>
          <w:sz w:val="20"/>
          <w:szCs w:val="20"/>
        </w:rPr>
        <w:t xml:space="preserve">npm link --workspace @ostack/cli     # expose `ostack` sur le PATH</w:t>
      </w:r>
    </w:p>
    <w:p>
      <w:pPr>
        <w:spacing w:after="120"/>
      </w:pPr>
      <w:r>
        <w:t xml:space="preserve">Vérifier : </w:t>
      </w:r>
      <w:r>
        <w:rPr>
          <w:rFonts w:ascii="Consolas" w:cs="Consolas" w:eastAsia="Consolas" w:hAnsi="Consolas"/>
          <w:sz w:val="20"/>
          <w:szCs w:val="20"/>
        </w:rPr>
        <w:t xml:space="preserve">ostack --help</w:t>
      </w:r>
      <w:r>
        <w:t xml:space="preserve"> doit lister les commandes.</w:t>
      </w:r>
    </w:p>
    <w:p>
      <w:pPr>
        <w:pStyle w:val="Heading1"/>
        <w:spacing w:after="120" w:before="240"/>
      </w:pPr>
      <w:r>
        <w:t xml:space="preserve">2. Équiper un projet (une fois par projet)</w:t>
      </w:r>
    </w:p>
    <w:p>
      <w:pPr>
        <w:pBdr>
          <w:left w:val="single" w:color="1F4E79" w:sz="12" w:space="6"/>
        </w:pBdr>
        <w:shd w:fill="F5F5F5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cd ~/mon-projet</w:t>
      </w:r>
    </w:p>
    <w:p>
      <w:pPr>
        <w:pBdr>
          <w:left w:val="single" w:color="1F4E79" w:sz="12" w:space="6"/>
        </w:pBd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ostack init "Mon projet"                 # crée .ostack/ dans CE projet</w:t>
      </w:r>
    </w:p>
    <w:p>
      <w:pPr>
        <w:pBdr>
          <w:left w:val="single" w:color="1F4E79" w:sz="12" w:space="6"/>
        </w:pBd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ostack install --assistant &lt;claude|cursor|codex&gt;</w:t>
      </w:r>
    </w:p>
    <w:p>
      <w:pPr>
        <w:pBdr>
          <w:left w:val="single" w:color="1F4E79" w:sz="12" w:space="6"/>
        </w:pBdr>
        <w:shd w:fill="F5F5F5" w:color="auto" w:val="clear"/>
        <w:spacing w:after="120" w:before="0"/>
      </w:pPr>
      <w:r>
        <w:rPr>
          <w:rFonts w:ascii="Consolas" w:cs="Consolas" w:eastAsia="Consolas" w:hAnsi="Consolas"/>
          <w:sz w:val="20"/>
          <w:szCs w:val="20"/>
        </w:rPr>
        <w:t xml:space="preserve">ostack doctor</w:t>
      </w:r>
    </w:p>
    <w:p>
      <w:pPr>
        <w:spacing w:after="120"/>
      </w:pPr>
      <w:r>
        <w:rPr>
          <w:b/>
          <w:bCs/>
        </w:rPr>
        <w:t xml:space="preserve">ostack install</w:t>
      </w:r>
      <w:r>
        <w:t xml:space="preserve"> dépose le framework dans le projet, au format de l'assistant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600"/>
      </w:tblGrid>
      <w:tr>
        <w:trPr>
          <w:tblHeader/>
        </w:trPr>
        <w:tc>
          <w:tcPr>
            <w:tcW w:type="dxa" w:w="220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Assistant</w:t>
            </w:r>
          </w:p>
        </w:tc>
        <w:tc>
          <w:tcPr>
            <w:tcW w:type="dxa" w:w="556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qui est déposé</w:t>
            </w:r>
          </w:p>
        </w:tc>
        <w:tc>
          <w:tcPr>
            <w:tcW w:type="dxa" w:w="160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Instructions</w:t>
            </w:r>
          </w:p>
        </w:tc>
      </w:tr>
      <w:tr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</w:rPr>
              <w:t xml:space="preserve">Claude Code</w:t>
            </w:r>
          </w:p>
        </w:tc>
        <w:tc>
          <w:tcPr>
            <w:tcW w:type="dxa" w:w="5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.claude/commands/ostack/*.md (slash /ostack:*), .claude/agents/*.md (9 subagents), .claude/skills/ostack/</w:t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CLAUDE.md</w:t>
            </w:r>
          </w:p>
        </w:tc>
      </w:tr>
      <w:tr>
        <w:tc>
          <w:tcPr>
            <w:tcW w:type="dxa" w:w="220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</w:rPr>
              <w:t xml:space="preserve">Cursor</w:t>
            </w:r>
          </w:p>
        </w:tc>
        <w:tc>
          <w:tcPr>
            <w:tcW w:type="dxa" w:w="556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.cursor/rules/ostack/…</w:t>
            </w:r>
          </w:p>
        </w:tc>
        <w:tc>
          <w:tcPr>
            <w:tcW w:type="dxa" w:w="160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.cursorrules</w:t>
            </w:r>
          </w:p>
        </w:tc>
      </w:tr>
      <w:tr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</w:rPr>
              <w:t xml:space="preserve">Codex / ChatGPT / générique</w:t>
            </w:r>
          </w:p>
        </w:tc>
        <w:tc>
          <w:tcPr>
            <w:tcW w:type="dxa" w:w="5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.ostack/commands/, .ostack/agents/, .ostack/skills/</w:t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AGENTS.md</w:t>
            </w:r>
          </w:p>
        </w:tc>
      </w:tr>
    </w:tbl>
    <w:p>
      <w:pPr>
        <w:spacing w:after="120"/>
      </w:pPr>
      <w:r>
        <w:t xml:space="preserve">Dans tous les cas, </w:t>
      </w:r>
      <w:r>
        <w:rPr>
          <w:rFonts w:ascii="Consolas" w:cs="Consolas" w:eastAsia="Consolas" w:hAnsi="Consolas"/>
          <w:sz w:val="20"/>
          <w:szCs w:val="20"/>
        </w:rPr>
        <w:t xml:space="preserve">.ostack/standards, workflows, policies, schemas, examples</w:t>
      </w:r>
      <w:r>
        <w:t xml:space="preserve"> sont aussi installés.</w:t>
      </w:r>
    </w:p>
    <w:p>
      <w:pPr>
        <w:pStyle w:val="Heading1"/>
        <w:spacing w:after="120" w:before="240"/>
      </w:pPr>
      <w:r>
        <w:t xml:space="preserve">3. Utiliser selon l'assistant</w:t>
      </w:r>
    </w:p>
    <w:p>
      <w:pPr>
        <w:pStyle w:val="Heading2"/>
        <w:spacing w:after="120" w:before="240"/>
      </w:pPr>
      <w:r>
        <w:t xml:space="preserve">Claude Code</w:t>
      </w:r>
    </w:p>
    <w:p>
      <w:pPr>
        <w:spacing w:after="120"/>
      </w:pPr>
      <w:r>
        <w:t xml:space="preserve">Après l'installation, </w:t>
      </w:r>
      <w:r>
        <w:rPr>
          <w:b/>
          <w:bCs/>
        </w:rPr>
        <w:t xml:space="preserve">relancez</w:t>
      </w:r>
      <w:r>
        <w:t xml:space="preserve"> Claude Code dans le projet (les commandes sont scannées au démarrage). Tapez « / » : /ostack:intent-compile, /ostack:prove, /ostack:challenge… apparaissent. Les 9 agents sont invocables comme subagents ostack-* (ex. ostack-supervisor). Le préambule de méthode est dans CLAUDE.md.</w:t>
      </w:r>
    </w:p>
    <w:p>
      <w:pPr>
        <w:pStyle w:val="Heading2"/>
        <w:spacing w:after="120" w:before="240"/>
      </w:pPr>
      <w:r>
        <w:t xml:space="preserve">Codex / ChatGPT</w:t>
      </w:r>
    </w:p>
    <w:p>
      <w:pPr>
        <w:spacing w:after="120"/>
      </w:pPr>
      <w:r>
        <w:t xml:space="preserve">Ces assistants lisent AGENTS.md et les définitions sous .ostack/. Demandez à l'assistant d'appliquer la méthode OStack ; il exécute les commandes ostack en terminal et interprète la preuve produite. (Pas de slash-commands natifs : le contrat passe par AGENTS.md + l'exécution CLI. Un ChatGPT purement conversationnel, sans terminal, utilise OStack comme méthode de référence mais ne peut pas exécuter les preuves.)</w:t>
      </w:r>
    </w:p>
    <w:p>
      <w:pPr>
        <w:pStyle w:val="Heading2"/>
        <w:spacing w:after="120" w:before="240"/>
      </w:pPr>
      <w:r>
        <w:t xml:space="preserve">Cursor</w:t>
      </w:r>
    </w:p>
    <w:p>
      <w:pPr>
        <w:spacing w:after="120"/>
      </w:pPr>
      <w:r>
        <w:t xml:space="preserve">Cursor lit .cursorrules et .cursor/rules/ostack/. Mêmes commandes ostack dans le terminal intégré.</w:t>
      </w:r>
    </w:p>
    <w:p>
      <w:pPr>
        <w:pStyle w:val="Heading2"/>
        <w:spacing w:after="120" w:before="240"/>
      </w:pPr>
      <w:r>
        <w:t xml:space="preserve">Terminal (tout assistant, ou sans assistant)</w:t>
      </w:r>
    </w:p>
    <w:p>
      <w:pPr>
        <w:spacing w:after="120"/>
      </w:pPr>
      <w:r>
        <w:t xml:space="preserve">Toutes les commandes fonctionnent directement : </w:t>
      </w:r>
      <w:r>
        <w:rPr>
          <w:rFonts w:ascii="Consolas" w:cs="Consolas" w:eastAsia="Consolas" w:hAnsi="Consolas"/>
          <w:sz w:val="20"/>
          <w:szCs w:val="20"/>
        </w:rPr>
        <w:t xml:space="preserve">ostack &lt;verbe&gt; [options] [--json]</w:t>
      </w:r>
      <w:r>
        <w:t xml:space="preserve">. --json rend une sortie exploitable par un script ou un agent.</w:t>
      </w:r>
    </w:p>
    <w:p>
      <w:pPr>
        <w:pBdr>
          <w:left w:val="single" w:color="E0B000" w:sz="18" w:space="8"/>
        </w:pBdr>
        <w:shd w:fill="FBF3D6" w:color="auto" w:val="clear"/>
        <w:spacing w:after="200" w:before="80"/>
      </w:pPr>
      <w:r>
        <w:rPr>
          <w:i/>
          <w:iCs/>
          <w:sz w:val="20"/>
          <w:szCs w:val="20"/>
        </w:rPr>
        <w:t xml:space="preserve">Point clé — Quand aucun fournisseur IA n'est configuré, c'est l'assistant qui est le modèle : pour intent-compile, il rédige lui-même le brouillon puis lance ostack intent-compile --from &lt;draft.json&gt; (compilation déterministe, sans appel externe).</w:t>
      </w:r>
    </w:p>
    <w:p>
      <w:pPr>
        <w:pStyle w:val="Heading1"/>
        <w:spacing w:after="120" w:before="240"/>
      </w:pPr>
      <w:r>
        <w:t xml:space="preserve">4. Les 33 commandes et leur rôle</w:t>
      </w:r>
    </w:p>
    <w:p>
      <w:pPr>
        <w:spacing w:after="120"/>
      </w:pPr>
      <w:r>
        <w:t xml:space="preserve">Chaque commande accepte --json. Le « niveau » est le niveau de sécurité maximal par défaut (4 = production, approbation humaine obligatoire).</w:t>
      </w:r>
    </w:p>
    <w:p>
      <w:pPr>
        <w:pStyle w:val="Heading2"/>
        <w:spacing w:after="120" w:before="240"/>
      </w:pPr>
      <w:r>
        <w:t xml:space="preserve">Cycle de vie du projet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160"/>
        <w:gridCol w:w="600"/>
      </w:tblGrid>
      <w:tr>
        <w:trPr>
          <w:tblHeader/>
        </w:trPr>
        <w:tc>
          <w:tcPr>
            <w:tcW w:type="dxa" w:w="360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Commande</w:t>
            </w:r>
          </w:p>
        </w:tc>
        <w:tc>
          <w:tcPr>
            <w:tcW w:type="dxa" w:w="516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60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Niv.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ostack init [nom]</w:t>
            </w:r>
          </w:p>
        </w:tc>
        <w:tc>
          <w:tcPr>
            <w:tcW w:type="dxa" w:w="51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Initialise .ostack/config.json dans le projet courant</w:t>
            </w:r>
          </w:p>
        </w:tc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2</w:t>
            </w:r>
          </w:p>
        </w:tc>
      </w:tr>
      <w:tr>
        <w:tc>
          <w:tcPr>
            <w:tcW w:type="dxa" w:w="360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ostack doctor</w:t>
            </w:r>
          </w:p>
        </w:tc>
        <w:tc>
          <w:tcPr>
            <w:tcW w:type="dxa" w:w="516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Diagnostique l'installation, la config et valide les schémas</w:t>
            </w:r>
          </w:p>
        </w:tc>
        <w:tc>
          <w:tcPr>
            <w:tcW w:type="dxa" w:w="60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1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ostack install --assistant &lt;c&gt;</w:t>
            </w:r>
          </w:p>
        </w:tc>
        <w:tc>
          <w:tcPr>
            <w:tcW w:type="dxa" w:w="51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Dépose le framework dans le projet (Claude/Cursor/Codex)</w:t>
            </w:r>
          </w:p>
        </w:tc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2</w:t>
            </w:r>
          </w:p>
        </w:tc>
      </w:tr>
      <w:tr>
        <w:tc>
          <w:tcPr>
            <w:tcW w:type="dxa" w:w="360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ostack discover</w:t>
            </w:r>
          </w:p>
        </w:tc>
        <w:tc>
          <w:tcPr>
            <w:tcW w:type="dxa" w:w="516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Comprend le code, la documentation et le métier du projet</w:t>
            </w:r>
          </w:p>
        </w:tc>
        <w:tc>
          <w:tcPr>
            <w:tcW w:type="dxa" w:w="60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1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ostack update [--check|--rollback|--channel &lt;c&gt;]</w:t>
            </w:r>
          </w:p>
        </w:tc>
        <w:tc>
          <w:tcPr>
            <w:tcW w:type="dxa" w:w="51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Met à jour le framework (point de restauration, fast-forward, rollback sur échec)</w:t>
            </w:r>
          </w:p>
        </w:tc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3</w:t>
            </w:r>
          </w:p>
        </w:tc>
      </w:tr>
    </w:tbl>
    <w:p>
      <w:pPr>
        <w:pStyle w:val="Heading2"/>
        <w:spacing w:after="120" w:before="240"/>
      </w:pPr>
      <w:r>
        <w:t xml:space="preserve">Développement orchestré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160"/>
        <w:gridCol w:w="600"/>
      </w:tblGrid>
      <w:tr>
        <w:trPr>
          <w:tblHeader/>
        </w:trPr>
        <w:tc>
          <w:tcPr>
            <w:tcW w:type="dxa" w:w="360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Commande</w:t>
            </w:r>
          </w:p>
        </w:tc>
        <w:tc>
          <w:tcPr>
            <w:tcW w:type="dxa" w:w="516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60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Niv.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ostack feature &lt;besoin&gt; [--provider …] [--intent &lt;f&gt;]</w:t>
            </w:r>
          </w:p>
        </w:tc>
        <w:tc>
          <w:tcPr>
            <w:tcW w:type="dxa" w:w="51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Workflow vérifié complet : intention → spéc → conception → barrière humaine → implémentation → délibération → tests → docs → squelette de preuve</w:t>
            </w:r>
          </w:p>
        </w:tc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3</w:t>
            </w:r>
          </w:p>
        </w:tc>
      </w:tr>
      <w:tr>
        <w:tc>
          <w:tcPr>
            <w:tcW w:type="dxa" w:w="360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ostack bug &lt;symptôme&gt;</w:t>
            </w:r>
          </w:p>
        </w:tc>
        <w:tc>
          <w:tcPr>
            <w:tcW w:type="dxa" w:w="516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Reproduit, diagnostique, corrige et prévient la régression</w:t>
            </w:r>
          </w:p>
        </w:tc>
        <w:tc>
          <w:tcPr>
            <w:tcW w:type="dxa" w:w="60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2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ostack change &lt;plan.json&gt; [--confirm &lt;hash&gt; --reason &lt;r&gt;]</w:t>
            </w:r>
          </w:p>
        </w:tc>
        <w:tc>
          <w:tcPr>
            <w:tcW w:type="dxa" w:w="51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Prévisualise puis applique un plan de changement contrôlé (rollback sur échec qualité)</w:t>
            </w:r>
          </w:p>
        </w:tc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3</w:t>
            </w:r>
          </w:p>
        </w:tc>
      </w:tr>
      <w:tr>
        <w:tc>
          <w:tcPr>
            <w:tcW w:type="dxa" w:w="360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ostack architecture check [--gate]</w:t>
            </w:r>
          </w:p>
        </w:tc>
        <w:tc>
          <w:tcPr>
            <w:tcW w:type="dxa" w:w="516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Vérifie les frontières d'architecture contre le graphe d'imports réel</w:t>
            </w:r>
          </w:p>
        </w:tc>
        <w:tc>
          <w:tcPr>
            <w:tcW w:type="dxa" w:w="60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1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ostack audit · design · security · qa · document · release</w:t>
            </w:r>
          </w:p>
        </w:tc>
        <w:tc>
          <w:tcPr>
            <w:tcW w:type="dxa" w:w="51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Verbes de cycle de vie (workflows dédiés)</w:t>
            </w:r>
          </w:p>
        </w:tc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1-3</w:t>
            </w:r>
          </w:p>
        </w:tc>
      </w:tr>
    </w:tbl>
    <w:p>
      <w:pPr>
        <w:pStyle w:val="Heading2"/>
        <w:spacing w:after="120" w:before="240"/>
      </w:pPr>
      <w:r>
        <w:t xml:space="preserve">Chaîne de preuve (Proof-Carrying Software)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160"/>
        <w:gridCol w:w="600"/>
      </w:tblGrid>
      <w:tr>
        <w:trPr>
          <w:tblHeader/>
        </w:trPr>
        <w:tc>
          <w:tcPr>
            <w:tcW w:type="dxa" w:w="360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Commande</w:t>
            </w:r>
          </w:p>
        </w:tc>
        <w:tc>
          <w:tcPr>
            <w:tcW w:type="dxa" w:w="516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60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Niv.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ostack intent-compile &lt;besoin&gt; | --from &lt;draft.json&gt;</w:t>
            </w:r>
          </w:p>
        </w:tc>
        <w:tc>
          <w:tcPr>
            <w:tcW w:type="dxa" w:w="51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Compile une demande en invariants, propriétés Gherkin (dont adversariales), contrôles et preuves attendues</w:t>
            </w:r>
          </w:p>
        </w:tc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2</w:t>
            </w:r>
          </w:p>
        </w:tc>
      </w:tr>
      <w:tr>
        <w:tc>
          <w:tcPr>
            <w:tcW w:type="dxa" w:w="360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ostack prove &lt;evidence-input.json&gt;</w:t>
            </w:r>
          </w:p>
        </w:tc>
        <w:tc>
          <w:tcPr>
            <w:tcW w:type="dxa" w:w="516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Assemble et scelle l'Evidence Pack (persisté, audité)</w:t>
            </w:r>
          </w:p>
        </w:tc>
        <w:tc>
          <w:tcPr>
            <w:tcW w:type="dxa" w:w="60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2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ostack verify &lt;evidence-input.json&gt; [--gate]</w:t>
            </w:r>
          </w:p>
        </w:tc>
        <w:tc>
          <w:tcPr>
            <w:tcW w:type="dxa" w:w="51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Rend un verdict de release fondé uniquement sur les preuves ; --gate bloque en CI</w:t>
            </w:r>
          </w:p>
        </w:tc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1</w:t>
            </w:r>
          </w:p>
        </w:tc>
      </w:tr>
      <w:tr>
        <w:tc>
          <w:tcPr>
            <w:tcW w:type="dxa" w:w="360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ostack confidence &lt;evidence-input.json&gt;</w:t>
            </w:r>
          </w:p>
        </w:tc>
        <w:tc>
          <w:tcPr>
            <w:tcW w:type="dxa" w:w="516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Affiche le score de confiance multidimensionnel avec ses preuves</w:t>
            </w:r>
          </w:p>
        </w:tc>
        <w:tc>
          <w:tcPr>
            <w:tcW w:type="dxa" w:w="60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1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ostack challenge &lt;proposition&gt; | --from &lt;f&gt;</w:t>
            </w:r>
          </w:p>
        </w:tc>
        <w:tc>
          <w:tcPr>
            <w:tcW w:type="dxa" w:w="51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Soumet une proposition aux agents critique et adversarial</w:t>
            </w:r>
          </w:p>
        </w:tc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2</w:t>
            </w:r>
          </w:p>
        </w:tc>
      </w:tr>
      <w:tr>
        <w:tc>
          <w:tcPr>
            <w:tcW w:type="dxa" w:w="360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ostack graph [rebuild|why|impact|coverage|unverified|nodes]</w:t>
            </w:r>
          </w:p>
        </w:tc>
        <w:tc>
          <w:tcPr>
            <w:tcW w:type="dxa" w:w="516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Reconstruit et interroge le graphe de traçabilité (besoin↔fichier↔preuve)</w:t>
            </w:r>
          </w:p>
        </w:tc>
        <w:tc>
          <w:tcPr>
            <w:tcW w:type="dxa" w:w="60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2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ostack drift [--gate]</w:t>
            </w:r>
          </w:p>
        </w:tc>
        <w:tc>
          <w:tcPr>
            <w:tcW w:type="dxa" w:w="51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Compare le jumeau numérique au projet observé (dérives)</w:t>
            </w:r>
          </w:p>
        </w:tc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1</w:t>
            </w:r>
          </w:p>
        </w:tc>
      </w:tr>
      <w:tr>
        <w:tc>
          <w:tcPr>
            <w:tcW w:type="dxa" w:w="360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ostack observe [--gate]</w:t>
            </w:r>
          </w:p>
        </w:tc>
        <w:tc>
          <w:tcPr>
            <w:tcW w:type="dxa" w:w="516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Sonde l'application en fonctionnement et produit des preuves (loopback par défaut)</w:t>
            </w:r>
          </w:p>
        </w:tc>
        <w:tc>
          <w:tcPr>
            <w:tcW w:type="dxa" w:w="60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1</w:t>
            </w:r>
          </w:p>
        </w:tc>
      </w:tr>
    </w:tbl>
    <w:p>
      <w:pPr>
        <w:pStyle w:val="Heading2"/>
        <w:spacing w:after="120" w:before="240"/>
      </w:pPr>
      <w:r>
        <w:t xml:space="preserve">Qualité, sécurité,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160"/>
        <w:gridCol w:w="600"/>
      </w:tblGrid>
      <w:tr>
        <w:trPr>
          <w:tblHeader/>
        </w:trPr>
        <w:tc>
          <w:tcPr>
            <w:tcW w:type="dxa" w:w="360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Commande</w:t>
            </w:r>
          </w:p>
        </w:tc>
        <w:tc>
          <w:tcPr>
            <w:tcW w:type="dxa" w:w="516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60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Niv.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ostack benchmark [suite.json]</w:t>
            </w:r>
          </w:p>
        </w:tc>
        <w:tc>
          <w:tcPr>
            <w:tcW w:type="dxa" w:w="51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Exécute la suite de benchmark (N répétitions, score = stabilité)</w:t>
            </w:r>
          </w:p>
        </w:tc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2</w:t>
            </w:r>
          </w:p>
        </w:tc>
      </w:tr>
      <w:tr>
        <w:tc>
          <w:tcPr>
            <w:tcW w:type="dxa" w:w="360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ostack performance &lt;baseline|compare&gt; [--gate] [--samples N]</w:t>
            </w:r>
          </w:p>
        </w:tc>
        <w:tc>
          <w:tcPr>
            <w:tcW w:type="dxa" w:w="516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Baseline p50/p95 puis détection de régression bloquante</w:t>
            </w:r>
          </w:p>
        </w:tc>
        <w:tc>
          <w:tcPr>
            <w:tcW w:type="dxa" w:w="60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2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ostack security-lab &lt;validate-authorization|check&gt; …</w:t>
            </w:r>
          </w:p>
        </w:tc>
        <w:tc>
          <w:tcPr>
            <w:tcW w:type="dxa" w:w="51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Valide un manifeste d'autorisation de test défensif ; vérifie qu'une opération est couverte</w:t>
            </w:r>
          </w:p>
        </w:tc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1</w:t>
            </w:r>
          </w:p>
        </w:tc>
      </w:tr>
      <w:tr>
        <w:tc>
          <w:tcPr>
            <w:tcW w:type="dxa" w:w="360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ostack root-cause &lt;open|check|close&gt; …</w:t>
            </w:r>
          </w:p>
        </w:tc>
        <w:tc>
          <w:tcPr>
            <w:tcW w:type="dxa" w:w="516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Analyse de cause racine structurée sur le journal d'audit (statut diagnosed mérité)</w:t>
            </w:r>
          </w:p>
        </w:tc>
        <w:tc>
          <w:tcPr>
            <w:tcW w:type="dxa" w:w="60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1</w:t>
            </w:r>
          </w:p>
        </w:tc>
      </w:tr>
    </w:tbl>
    <w:p>
      <w:pPr>
        <w:pStyle w:val="Heading2"/>
        <w:spacing w:after="120" w:before="240"/>
      </w:pPr>
      <w:r>
        <w:t xml:space="preserve">Intelligence métier (Universal Domain)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160"/>
        <w:gridCol w:w="600"/>
      </w:tblGrid>
      <w:tr>
        <w:trPr>
          <w:tblHeader/>
        </w:trPr>
        <w:tc>
          <w:tcPr>
            <w:tcW w:type="dxa" w:w="360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Commande</w:t>
            </w:r>
          </w:p>
        </w:tc>
        <w:tc>
          <w:tcPr>
            <w:tcW w:type="dxa" w:w="516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60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Niv.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ostack domain create --name &lt;id&gt; [--sources &lt;dir&gt;]</w:t>
            </w:r>
          </w:p>
        </w:tc>
        <w:tc>
          <w:tcPr>
            <w:tcW w:type="dxa" w:w="51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Crée un Domain Pack métier avec inventaire des sources</w:t>
            </w:r>
          </w:p>
        </w:tc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2</w:t>
            </w:r>
          </w:p>
        </w:tc>
      </w:tr>
      <w:tr>
        <w:tc>
          <w:tcPr>
            <w:tcW w:type="dxa" w:w="360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ostack domain score &lt;pack.json&gt;</w:t>
            </w:r>
          </w:p>
        </w:tc>
        <w:tc>
          <w:tcPr>
            <w:tcW w:type="dxa" w:w="516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Score de compréhension métier calculé + niveau de maturité (0-4)</w:t>
            </w:r>
          </w:p>
        </w:tc>
        <w:tc>
          <w:tcPr>
            <w:tcW w:type="dxa" w:w="60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1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ostack domain validate &lt;pack.json&gt; --rule &lt;id&gt; --expert &lt;n&gt; --reason &lt;r&gt;</w:t>
            </w:r>
          </w:p>
        </w:tc>
        <w:tc>
          <w:tcPr>
            <w:tcW w:type="dxa" w:w="51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Confirmation experte d'une règle sourcée (auditée)</w:t>
            </w:r>
          </w:p>
        </w:tc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2</w:t>
            </w:r>
          </w:p>
        </w:tc>
      </w:tr>
      <w:tr>
        <w:tc>
          <w:tcPr>
            <w:tcW w:type="dxa" w:w="360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ostack domain check &lt;pack.json&gt; --action &lt;a&gt; --context &lt;ctx.json&gt;</w:t>
            </w:r>
          </w:p>
        </w:tc>
        <w:tc>
          <w:tcPr>
            <w:tcW w:type="dxa" w:w="516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Évalue les règles métier sur un contexte réel (garde de juridiction)</w:t>
            </w:r>
          </w:p>
        </w:tc>
        <w:tc>
          <w:tcPr>
            <w:tcW w:type="dxa" w:w="60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1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ostack domain scenarios &lt;pack.json&gt;</w:t>
            </w:r>
          </w:p>
        </w:tc>
        <w:tc>
          <w:tcPr>
            <w:tcW w:type="dxa" w:w="51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Génère les scénarios de tests depuis les règles</w:t>
            </w:r>
          </w:p>
        </w:tc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1</w:t>
            </w:r>
          </w:p>
        </w:tc>
      </w:tr>
      <w:tr>
        <w:tc>
          <w:tcPr>
            <w:tcW w:type="dxa" w:w="360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ostack domain cross &lt;pack1&gt; &lt;pack2&gt; …</w:t>
            </w:r>
          </w:p>
        </w:tc>
        <w:tc>
          <w:tcPr>
            <w:tcW w:type="dxa" w:w="516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Analyse interdomaines (concepts partagés, règles en chevauchement)</w:t>
            </w:r>
          </w:p>
        </w:tc>
        <w:tc>
          <w:tcPr>
            <w:tcW w:type="dxa" w:w="60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1</w:t>
            </w:r>
          </w:p>
        </w:tc>
      </w:tr>
    </w:tbl>
    <w:p>
      <w:pPr>
        <w:pStyle w:val="Heading2"/>
        <w:spacing w:after="120" w:before="240"/>
      </w:pPr>
      <w:r>
        <w:t xml:space="preserve">Modèles, apprentissage, évolution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160"/>
        <w:gridCol w:w="600"/>
      </w:tblGrid>
      <w:tr>
        <w:trPr>
          <w:tblHeader/>
        </w:trPr>
        <w:tc>
          <w:tcPr>
            <w:tcW w:type="dxa" w:w="360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Commande</w:t>
            </w:r>
          </w:p>
        </w:tc>
        <w:tc>
          <w:tcPr>
            <w:tcW w:type="dxa" w:w="516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60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Niv.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ostack mesh [routes|stats|record|settle …]</w:t>
            </w:r>
          </w:p>
        </w:tc>
        <w:tc>
          <w:tcPr>
            <w:tcW w:type="dxa" w:w="51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Routage des modèles au coût par résultat vérifié ; enregistre/règle les résultats réels</w:t>
            </w:r>
          </w:p>
        </w:tc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1-2</w:t>
            </w:r>
          </w:p>
        </w:tc>
      </w:tr>
      <w:tr>
        <w:tc>
          <w:tcPr>
            <w:tcW w:type="dxa" w:w="360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ostack learn &lt;observe|recall|record&gt;</w:t>
            </w:r>
          </w:p>
        </w:tc>
        <w:tc>
          <w:tcPr>
            <w:tcW w:type="dxa" w:w="516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Enrichit la base de connaissance (faits sourcés, cross-projets, jamais inventés)</w:t>
            </w:r>
          </w:p>
        </w:tc>
        <w:tc>
          <w:tcPr>
            <w:tcW w:type="dxa" w:w="60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2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ostack evolve &lt;collect|status|classify|promote|propose|apply|evaluate|pr|merge&gt;</w:t>
            </w:r>
          </w:p>
        </w:tc>
        <w:tc>
          <w:tcPr>
            <w:tcW w:type="dxa" w:w="51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Autonomous Evolution Engine : ledger, promotion, plan Git, exécution locale, auto-merge gardé</w:t>
            </w:r>
          </w:p>
        </w:tc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2-3</w:t>
            </w:r>
          </w:p>
        </w:tc>
      </w:tr>
      <w:tr>
        <w:tc>
          <w:tcPr>
            <w:tcW w:type="dxa" w:w="360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ostack sync &lt;status|pull|push|verify&gt;</w:t>
            </w:r>
          </w:p>
        </w:tc>
        <w:tc>
          <w:tcPr>
            <w:tcW w:type="dxa" w:w="516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Synchronise le dépôt de connaissances (pull fast-forward-only, push gardé)</w:t>
            </w:r>
          </w:p>
        </w:tc>
        <w:tc>
          <w:tcPr>
            <w:tcW w:type="dxa" w:w="60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2</w:t>
            </w:r>
          </w:p>
        </w:tc>
      </w:tr>
    </w:tbl>
    <w:p>
      <w:pPr>
        <w:pStyle w:val="Heading1"/>
        <w:spacing w:after="120" w:before="240"/>
      </w:pPr>
      <w:r>
        <w:t xml:space="preserve">5. Parcours type (Claude Code, cas pilote)</w:t>
      </w:r>
    </w:p>
    <w:p>
      <w:pPr>
        <w:pBdr>
          <w:left w:val="single" w:color="1F4E79" w:sz="12" w:space="6"/>
        </w:pBdr>
        <w:shd w:fill="F5F5F5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/ostack:intent-compile permettre au client de réserver un créneau sans double-booking</w:t>
      </w:r>
    </w:p>
    <w:p>
      <w:pPr>
        <w:pBdr>
          <w:left w:val="single" w:color="1F4E79" w:sz="12" w:space="6"/>
        </w:pBd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→ l'assistant rédige le brouillon puis: ostack intent-compile --from …</w:t>
      </w:r>
    </w:p>
    <w:p>
      <w:pPr>
        <w:pBdr>
          <w:left w:val="single" w:color="1F4E79" w:sz="12" w:space="6"/>
        </w:pBd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left w:val="single" w:color="1F4E79" w:sz="12" w:space="6"/>
        </w:pBd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ostack feature "réservation sans double-booking" --provider ollama</w:t>
      </w:r>
    </w:p>
    <w:p>
      <w:pPr>
        <w:pBdr>
          <w:left w:val="single" w:color="1F4E79" w:sz="12" w:space="6"/>
        </w:pBd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→ workflow vérifié, s'arrête à chaque barrière humaine</w:t>
      </w:r>
    </w:p>
    <w:p>
      <w:pPr>
        <w:pBdr>
          <w:left w:val="single" w:color="1F4E79" w:sz="12" w:space="6"/>
        </w:pBd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left w:val="single" w:color="1F4E79" w:sz="12" w:space="6"/>
        </w:pBd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ostack prove evidence-input.json          # scelle l'Evidence Pack</w:t>
      </w:r>
    </w:p>
    <w:p>
      <w:pPr>
        <w:pBdr>
          <w:left w:val="single" w:color="1F4E79" w:sz="12" w:space="6"/>
        </w:pBd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ostack verify evidence-input.json --gate  # verdict de release</w:t>
      </w:r>
    </w:p>
    <w:p>
      <w:pPr>
        <w:pBdr>
          <w:left w:val="single" w:color="1F4E79" w:sz="12" w:space="6"/>
        </w:pBd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ostack graph rebuild &amp;&amp; ostack graph unverified</w:t>
      </w:r>
    </w:p>
    <w:p>
      <w:pPr>
        <w:pBdr>
          <w:left w:val="single" w:color="1F4E79" w:sz="12" w:space="6"/>
        </w:pBdr>
        <w:shd w:fill="F5F5F5" w:color="auto" w:val="clear"/>
        <w:spacing w:after="120" w:before="0"/>
      </w:pPr>
      <w:r>
        <w:rPr>
          <w:rFonts w:ascii="Consolas" w:cs="Consolas" w:eastAsia="Consolas" w:hAnsi="Consolas"/>
          <w:sz w:val="20"/>
          <w:szCs w:val="20"/>
        </w:rPr>
        <w:t xml:space="preserve">ostack learn observe --global             # la connaissance s'enrichit</w:t>
      </w:r>
    </w:p>
    <w:p>
      <w:pPr>
        <w:pStyle w:val="Heading1"/>
        <w:spacing w:after="120" w:before="240"/>
      </w:pPr>
      <w:r>
        <w:t xml:space="preserve">6. Boucle d'auto-évolution</w:t>
      </w:r>
    </w:p>
    <w:p>
      <w:pPr>
        <w:pBdr>
          <w:left w:val="single" w:color="1F4E79" w:sz="12" w:space="6"/>
        </w:pBdr>
        <w:shd w:fill="F5F5F5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tâche → artefacts → ostack evolve collect → evaluate → promote</w:t>
      </w:r>
    </w:p>
    <w:p>
      <w:pPr>
        <w:pBdr>
          <w:left w:val="single" w:color="1F4E79" w:sz="12" w:space="6"/>
        </w:pBdr>
        <w:shd w:fill="F5F5F5" w:color="auto" w:val="clear"/>
        <w:spacing w:after="120" w:before="0"/>
      </w:pPr>
      <w:r>
        <w:rPr>
          <w:rFonts w:ascii="Consolas" w:cs="Consolas" w:eastAsia="Consolas" w:hAnsi="Consolas"/>
          <w:sz w:val="20"/>
          <w:szCs w:val="20"/>
        </w:rPr>
        <w:t xml:space="preserve">      → propose → apply [--push] → pr → merge</w:t>
      </w:r>
    </w:p>
    <w:p>
      <w:pPr>
        <w:spacing w:after="120"/>
      </w:pPr>
      <w:r>
        <w:rPr>
          <w:b/>
          <w:bCs/>
        </w:rPr>
        <w:t xml:space="preserve">Garde-fous non négociables : </w:t>
      </w:r>
      <w:r>
        <w:t xml:space="preserve">jamais de git push --force, jamais de push direct sur main, auto-merge réservé au risque faible avec tous les contrôles verts, jamais sur le noyau ou la sécurité, et l'auto-évolution ne peut pas modifier ses propres garde-fous. GitHub (protections de branche + checks obligatoires) reste la barrière finale.</w:t>
      </w:r>
    </w:p>
    <w:p>
      <w:pPr>
        <w:pStyle w:val="Heading1"/>
        <w:spacing w:after="120" w:before="240"/>
      </w:pPr>
      <w:r>
        <w:t xml:space="preserve">7. Règles à retenir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1. </w:t>
      </w:r>
      <w:r>
        <w:t xml:space="preserve">Aucun résultat sans preuve exécutée.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2. </w:t>
      </w:r>
      <w:r>
        <w:t xml:space="preserve">Toute connaissance a une source ; aucune règle métier inventée.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3. </w:t>
      </w:r>
      <w:r>
        <w:t xml:space="preserve">Toute incertitude est affichée ; aucun secret n'entre dans Git ni les logs.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4. </w:t>
      </w:r>
      <w:r>
        <w:t xml:space="preserve">Les actions critiques (niveau 4) exigent une approbation humaine explicite.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5. </w:t>
      </w:r>
      <w:r>
        <w:t xml:space="preserve">--json partout pour l'automatisation ; ostack doctor en cas de doute.</w:t>
      </w:r>
    </w:p>
    <w:p>
      <w:pPr>
        <w:pBdr>
          <w:top w:val="single" w:color="CCCCCC" w:sz="8" w:space="8"/>
        </w:pBdr>
        <w:spacing w:before="240"/>
      </w:pPr>
      <w:r>
        <w:rPr>
          <w:color w:val="777777"/>
          <w:sz w:val="18"/>
          <w:szCs w:val="18"/>
        </w:rPr>
        <w:t xml:space="preserve">Dépôt : </w:t>
      </w:r>
      <w:hyperlink w:history="1" r:id="rIdwszuel-lj6qumxxf7cu5e">
        <w:r>
          <w:rPr>
            <w:rStyle w:val="Hyperlink"/>
            <w:sz w:val="18"/>
            <w:szCs w:val="18"/>
          </w:rPr>
          <w:t xml:space="preserve">github.com/sergehoo/ostack</w:t>
        </w:r>
      </w:hyperlink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</w:pPr>
    <w:rPr>
      <w:b/>
      <w:bCs/>
      <w:color w:val="2E5F9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wszuel-lj6qumxxf7cu5e" Type="http://schemas.openxmlformats.org/officeDocument/2006/relationships/hyperlink" Target="https://github.com/sergehoo/ostack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d'utilisation d'OStack</dc:title>
  <dc:creator>OStack</dc:creator>
  <cp:lastModifiedBy>Un-named</cp:lastModifiedBy>
  <cp:revision>1</cp:revision>
  <dcterms:created xsi:type="dcterms:W3CDTF">2026-07-23T09:11:12.498Z</dcterms:created>
  <dcterms:modified xsi:type="dcterms:W3CDTF">2026-07-23T09:11:12.502Z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