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urdng99y5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Название задачи: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k0fkfyohd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Автор: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anumrh8zru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Дата: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fxc9a4551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Опишите здесь верхнеуровневые Use Cases. Их нужно оформить в виде таблицы с пошаговым описанием:</w:t>
      </w:r>
    </w:p>
    <w:tbl>
      <w:tblPr>
        <w:tblStyle w:val="Table1"/>
        <w:tblW w:w="8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295"/>
        <w:gridCol w:w="1155"/>
        <w:gridCol w:w="4290"/>
        <w:tblGridChange w:id="0">
          <w:tblGrid>
            <w:gridCol w:w="465"/>
            <w:gridCol w:w="2295"/>
            <w:gridCol w:w="1155"/>
            <w:gridCol w:w="42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Действующие лица или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xz25hbrgq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Опишите здесь нефункциональные требования и архитектурно-значимые требования.</w:t>
      </w:r>
    </w:p>
    <w:tbl>
      <w:tblPr>
        <w:tblStyle w:val="Table2"/>
        <w:tblW w:w="81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7725"/>
        <w:tblGridChange w:id="0">
          <w:tblGrid>
            <w:gridCol w:w="465"/>
            <w:gridCol w:w="77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Требование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phm5d6rvi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Решение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Приведите диаграммы контекста и контейнеров в модели C4. Опишите там основные компоненты и интеграции всех элементов решения.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Также опишите, какой логикой вы руководствовались в ходе принятия решений и выбора технологий. Не забывайте, что необходимо учесть все функциональные и нефункциональные требования.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rr7veeh80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Альтернативы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Опишите здесь наиболее важные альтернативные решения.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Недостатки, ограничения, риски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Подробно опишите здесь</w:t>
      </w:r>
      <w:r w:rsidDel="00000000" w:rsidR="00000000" w:rsidRPr="00000000">
        <w:rPr>
          <w:rtl w:val="0"/>
        </w:rPr>
        <w:t xml:space="preserve"> недостатки, ограничения и риски выбранного решения.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