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1"/>
        <w:rPr/>
      </w:pPr>
      <w:r>
        <w:rPr/>
      </w:r>
    </w:p>
    <w:p>
      <w:pPr>
        <w:pStyle w:val="Normal"/>
        <w:jc w:val="center"/>
        <w:rPr/>
      </w:pPr>
      <w:bookmarkStart w:id="0" w:name="_Hlk21791465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4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69" w:before="0" w:after="5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356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"МИРЭА - Российский технологический университет"</w:t>
      </w:r>
    </w:p>
    <w:p>
      <w:pPr>
        <w:pStyle w:val="Heading1"/>
        <w:ind w:left="0"/>
        <w:rPr/>
      </w:pPr>
      <w:r>
        <w:rPr/>
        <w:t xml:space="preserve">РТУ МИРЭА </w:t>
      </w:r>
    </w:p>
    <w:p>
      <w:pPr>
        <w:pStyle w:val="Normal"/>
        <w:spacing w:before="0" w:after="151"/>
        <w:rPr/>
      </w:pPr>
      <w:r>
        <w:rPr/>
        <mc:AlternateContent>
          <mc:Choice Requires="wpg">
            <w:drawing>
              <wp:inline distT="0" distB="0" distL="0" distR="0">
                <wp:extent cx="5600700" cy="39370"/>
                <wp:effectExtent l="8890" t="3810" r="635" b="4445"/>
                <wp:docPr id="2" name="Группа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66"/>
                        <wps:cNvSpPr/>
                        <wps:spPr>
                          <a:xfrm>
                            <a:off x="0" y="28440"/>
                            <a:ext cx="5600880" cy="1080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7000 w 3175200"/>
                              <a:gd name="textAreaTop" fmla="*/ 0 h 6120"/>
                              <a:gd name="textAreaBottom" fmla="*/ 7920 h 6120"/>
                              <a:gd name="GluePoint1X" fmla="*/ 0 w 22"/>
                              <a:gd name="GluePoint1Y" fmla="*/ 0 h 8825.00045351474"/>
                              <a:gd name="GluePoint2X" fmla="*/ 0 w 22"/>
                              <a:gd name="GluePoint2Y" fmla="*/ 0 h 8825.00045351474"/>
                              <a:gd name="GluePoint3X" fmla="*/ 0 w 22"/>
                              <a:gd name="GluePoint3Y" fmla="*/ 0 h 8825.00045351474"/>
                              <a:gd name="GluePoint4X" fmla="*/ 0 w 22"/>
                              <a:gd name="GluePoint4Y" fmla="*/ 0 h 8825.00045351474"/>
                              <a:gd name="GluePoint5X" fmla="*/ 0 w 22"/>
                              <a:gd name="GluePoint5Y" fmla="*/ 0 h 8825.0004535147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67"/>
                        <wps:cNvSpPr/>
                        <wps:spPr>
                          <a:xfrm>
                            <a:off x="0" y="0"/>
                            <a:ext cx="5600880" cy="1080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7000 w 3175200"/>
                              <a:gd name="textAreaTop" fmla="*/ 0 h 6120"/>
                              <a:gd name="textAreaBottom" fmla="*/ 7920 h 6120"/>
                              <a:gd name="GluePoint1X" fmla="*/ 0 w 22"/>
                              <a:gd name="GluePoint1Y" fmla="*/ 0 h 8825.00045351474"/>
                              <a:gd name="GluePoint2X" fmla="*/ 0 w 22"/>
                              <a:gd name="GluePoint2Y" fmla="*/ 0 h 8825.00045351474"/>
                              <a:gd name="GluePoint3X" fmla="*/ 0 w 22"/>
                              <a:gd name="GluePoint3Y" fmla="*/ 0 h 8825.00045351474"/>
                              <a:gd name="GluePoint4X" fmla="*/ 0 w 22"/>
                              <a:gd name="GluePoint4Y" fmla="*/ 0 h 8825.00045351474"/>
                              <a:gd name="GluePoint5X" fmla="*/ 0 w 22"/>
                              <a:gd name="GluePoint5Y" fmla="*/ 0 h 8825.0004535147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Группа 1" style="position:absolute;margin-left:0pt;margin-top:-3.8pt;width:441pt;height:3.1pt" coordorigin="0,-76" coordsize="8820,62"/>
            </w:pict>
          </mc:Fallback>
        </mc:AlternateContent>
      </w:r>
    </w:p>
    <w:p>
      <w:pPr>
        <w:pStyle w:val="Normal"/>
        <w:spacing w:before="0" w:after="20"/>
        <w:jc w:val="right"/>
        <w:rPr/>
      </w:pPr>
      <w:r>
        <w:rPr/>
      </w:r>
    </w:p>
    <w:p>
      <w:pPr>
        <w:pStyle w:val="Normal"/>
        <w:spacing w:lineRule="auto" w:line="269" w:before="0" w:after="5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Институт информационных технологий (ИТ) </w:t>
      </w:r>
    </w:p>
    <w:p>
      <w:pPr>
        <w:pStyle w:val="Normal"/>
        <w:spacing w:lineRule="auto" w:line="269" w:before="0" w:after="67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Кафедра практической и прикладной информатики (ППИ)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27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ОТЧЕТ  ПО ПРАКТИЧЕСКОЙ РАБОТЕ №</w:t>
      </w:r>
      <w:r>
        <w:rPr>
          <w:rFonts w:eastAsia="Times New Roman" w:cs="Times New Roman" w:ascii="Times New Roman" w:hAnsi="Times New Roman"/>
          <w:b/>
          <w:sz w:val="28"/>
        </w:rPr>
        <w:t>7</w:t>
      </w:r>
    </w:p>
    <w:p>
      <w:pPr>
        <w:pStyle w:val="Standard"/>
        <w:spacing w:lineRule="atLeast" w:line="0"/>
        <w:ind w:right="200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по дисциплине</w:t>
      </w:r>
    </w:p>
    <w:p>
      <w:pPr>
        <w:pStyle w:val="Standard"/>
        <w:spacing w:lineRule="atLeast" w:line="0"/>
        <w:ind w:right="200"/>
        <w:jc w:val="center"/>
        <w:rPr/>
      </w:pPr>
      <w:r>
        <w:rPr>
          <w:rFonts w:eastAsia="Times New Roman" w:cs="Times New Roman" w:ascii="Times New Roman" w:hAnsi="Times New Roman"/>
          <w:b/>
          <w:sz w:val="28"/>
        </w:rPr>
        <w:t>«</w:t>
      </w:r>
      <w:r>
        <w:rPr>
          <w:rFonts w:eastAsia="Times New Roman" w:cs="Times New Roman" w:ascii="Times New Roman" w:hAnsi="Times New Roman"/>
          <w:sz w:val="28"/>
        </w:rPr>
        <w:t>Анализ и концептуальное моделирование систем</w:t>
      </w:r>
      <w:r>
        <w:rPr>
          <w:rFonts w:eastAsia="Times New Roman" w:cs="Times New Roman" w:ascii="Times New Roman" w:hAnsi="Times New Roman"/>
          <w:b/>
          <w:sz w:val="28"/>
        </w:rPr>
        <w:t>»</w:t>
      </w:r>
    </w:p>
    <w:p>
      <w:pPr>
        <w:pStyle w:val="Standard"/>
        <w:spacing w:lineRule="exact" w:line="20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Normal"/>
        <w:rPr/>
      </w:pPr>
      <w:r>
        <w:rPr/>
      </w:r>
    </w:p>
    <w:tbl>
      <w:tblPr>
        <w:tblW w:w="931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1986"/>
        <w:gridCol w:w="615"/>
        <w:gridCol w:w="2037"/>
      </w:tblGrid>
      <w:tr>
        <w:trPr>
          <w:trHeight w:val="1053" w:hRule="atLeast"/>
        </w:trPr>
        <w:tc>
          <w:tcPr>
            <w:tcW w:w="6663" w:type="dxa"/>
            <w:gridSpan w:val="2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Выполнил студент группы ИКБО-50-23</w:t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19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Астахов С.П.</w:t>
            </w:r>
          </w:p>
        </w:tc>
      </w:tr>
      <w:tr>
        <w:trPr>
          <w:trHeight w:val="1518" w:hRule="atLeast"/>
        </w:trPr>
        <w:tc>
          <w:tcPr>
            <w:tcW w:w="4677" w:type="dxa"/>
            <w:tcBorders/>
          </w:tcPr>
          <w:p>
            <w:pPr>
              <w:pStyle w:val="Normal"/>
              <w:spacing w:before="0" w:after="10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Принял старший преподаватель</w:t>
            </w:r>
          </w:p>
        </w:tc>
        <w:tc>
          <w:tcPr>
            <w:tcW w:w="1986" w:type="dxa"/>
            <w:tcBorders/>
            <w:vAlign w:val="bottom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spacing w:before="0" w:after="0"/>
              <w:jc w:val="right"/>
              <w:rPr>
                <w:color w:themeColor="dark1" w:val="000000"/>
              </w:rPr>
            </w:pPr>
            <w:r>
              <w:rPr>
                <w:color w:themeColor="dark1" w:val="000000"/>
              </w:rPr>
            </w:r>
          </w:p>
          <w:p>
            <w:pPr>
              <w:pStyle w:val="Normal"/>
              <w:spacing w:before="0" w:after="0"/>
              <w:jc w:val="left"/>
              <w:rPr>
                <w:color w:themeColor="dark1" w:val="000000"/>
              </w:rPr>
            </w:pPr>
            <w:r>
              <w:rPr>
                <w:color w:themeColor="dark1" w:val="000000"/>
              </w:rPr>
            </w:r>
          </w:p>
          <w:p>
            <w:pPr>
              <w:pStyle w:val="Normal"/>
              <w:spacing w:before="0" w:after="0"/>
              <w:jc w:val="left"/>
              <w:rPr>
                <w:color w:themeColor="dark1" w:val="000000"/>
              </w:rPr>
            </w:pPr>
            <w:r>
              <w:rPr>
                <w:rFonts w:cs="Times New Roman" w:ascii="Times New Roman" w:hAnsi="Times New Roman"/>
                <w:color w:themeColor="dark1" w:val="000000"/>
                <w:lang w:val="en-US"/>
              </w:rPr>
              <w:t xml:space="preserve">    </w:t>
            </w:r>
            <w:r>
              <w:rPr>
                <w:rFonts w:cs="Times New Roman" w:ascii="Times New Roman" w:hAnsi="Times New Roman"/>
                <w:color w:themeColor="dark1" w:val="000000"/>
                <w:lang w:val="ru-RU"/>
              </w:rPr>
              <w:t>Свищёв А</w:t>
            </w:r>
            <w:r>
              <w:rPr>
                <w:color w:themeColor="dark1" w:val="000000"/>
                <w:lang w:val="ru-RU"/>
              </w:rPr>
              <w:t>.В.</w:t>
            </w:r>
          </w:p>
        </w:tc>
      </w:tr>
      <w:tr>
        <w:trPr>
          <w:trHeight w:val="461" w:hRule="atLeast"/>
        </w:trPr>
        <w:tc>
          <w:tcPr>
            <w:tcW w:w="467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7" w:type="dxa"/>
            <w:tcBorders/>
            <w:vAlign w:val="bottom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30" w:hRule="atLeast"/>
        </w:trPr>
        <w:tc>
          <w:tcPr>
            <w:tcW w:w="4677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25" w:hRule="atLeast"/>
        </w:trPr>
        <w:tc>
          <w:tcPr>
            <w:tcW w:w="4677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1010" w:hRule="atLeast"/>
        </w:trPr>
        <w:tc>
          <w:tcPr>
            <w:tcW w:w="4677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86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52" w:type="dxa"/>
            <w:gridSpan w:val="2"/>
            <w:tcBorders/>
          </w:tcPr>
          <w:p>
            <w:pPr>
              <w:pStyle w:val="Normal"/>
              <w:spacing w:before="0" w:after="0"/>
              <w:jc w:val="righ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17"/>
        <w:jc w:val="center"/>
        <w:rPr>
          <w:rFonts w:ascii="Times New Roman" w:hAnsi="Times New Roman" w:eastAsia="Times New Roman" w:cs="Times New Roman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2769235</wp:posOffset>
            </wp:positionH>
            <wp:positionV relativeFrom="paragraph">
              <wp:posOffset>173990</wp:posOffset>
            </wp:positionV>
            <wp:extent cx="604520" cy="337820"/>
            <wp:effectExtent l="0" t="0" r="0" b="0"/>
            <wp:wrapNone/>
            <wp:docPr id="5" name="Рукописный ввод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укописный ввод 2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33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</w:rPr>
        <w:t>Москва 2025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Практическая работа № </w:t>
      </w:r>
      <w:r>
        <w:rPr>
          <w:rFonts w:cs="Times New Roman" w:ascii="Times New Roman" w:hAnsi="Times New Roman"/>
          <w:b/>
          <w:bCs/>
          <w:sz w:val="28"/>
          <w:szCs w:val="28"/>
        </w:rPr>
        <w:t>7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Построение UML – модели системы. Диаграмма </w:t>
      </w:r>
      <w:r>
        <w:rPr>
          <w:rFonts w:cs="Times New Roman" w:ascii="Times New Roman" w:hAnsi="Times New Roman"/>
          <w:b/>
          <w:bCs/>
          <w:sz w:val="28"/>
          <w:szCs w:val="28"/>
        </w:rPr>
        <w:t>компонентов, развертывания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научиться строить модель реализации.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Задачи:</w:t>
      </w:r>
      <w:r>
        <w:rPr>
          <w:rFonts w:cs="Times New Roman" w:ascii="Times New Roman" w:hAnsi="Times New Roman"/>
          <w:sz w:val="28"/>
          <w:szCs w:val="28"/>
        </w:rPr>
        <w:t xml:space="preserve"> построить модель реализации с помощью диаграмм компонентов и развертывания с рассмотрением основных элементов и правил построения.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АСМОграф</w:t>
      </w:r>
      <w:r>
        <w:rPr>
          <w:rFonts w:cs="Times New Roman" w:ascii="Times New Roman" w:hAnsi="Times New Roman"/>
          <w:sz w:val="28"/>
          <w:szCs w:val="28"/>
          <w:lang w:val="en-US"/>
        </w:rPr>
        <w:t>, Visual Paradigm, Draw.io, Rational Rose.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Вариант индивидуального проекта: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Моделирование организации продаж подержанных автомобилей в автосалоне.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Порядок выполнения работы:</w:t>
      </w:r>
    </w:p>
    <w:p>
      <w:pPr>
        <w:pStyle w:val="Heading2"/>
        <w:ind w:hanging="0" w:left="0"/>
        <w:rPr/>
      </w:pPr>
      <w:r>
        <w:rPr>
          <w:b/>
          <w:bCs/>
        </w:rPr>
        <w:t>2</w:t>
      </w:r>
      <w:r>
        <w:rPr>
          <w:b/>
          <w:bCs/>
        </w:rPr>
        <w:t>.</w:t>
      </w:r>
      <w:r>
        <w:rPr>
          <w:b/>
          <w:bCs/>
        </w:rPr>
        <w:t>1</w:t>
      </w:r>
      <w:r>
        <w:rPr>
          <w:b/>
          <w:bCs/>
        </w:rPr>
        <w:t xml:space="preserve"> </w:t>
      </w:r>
      <w:r>
        <w:rPr>
          <w:b/>
          <w:bCs/>
        </w:rPr>
        <w:t>Д</w:t>
      </w:r>
      <w:r>
        <w:rPr/>
        <w:t>иаграмм</w:t>
      </w:r>
      <w:r>
        <w:rPr/>
        <w:t>а</w:t>
      </w:r>
      <w:r>
        <w:rPr/>
        <w:t xml:space="preserve"> компонентов</w:t>
      </w:r>
    </w:p>
    <w:p>
      <w:pPr>
        <w:pStyle w:val="BodyText"/>
        <w:rPr/>
      </w:pPr>
      <w:r>
        <w:rPr/>
        <w:tab/>
        <w:t>Построим диаграмму компонентов для собственного варианта</w:t>
      </w:r>
      <w:r>
        <w:rPr/>
        <w:t>(рис. 1).</w:t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84575"/>
            <wp:effectExtent l="0" t="0" r="0" b="0"/>
            <wp:wrapSquare wrapText="largest"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Рисунок 1 – Диаграмма компонентов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  <w:t>На данной диаграмме компонентов представлено взаимодействие между ключевыми модулями информационной системы, обеспечивающей работу организации проката автомобилей.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</w:r>
      <w:r>
        <w:rPr>
          <w:rFonts w:cs="Times New Roman" w:ascii="Times New Roman" w:hAnsi="Times New Roman"/>
          <w:sz w:val="28"/>
          <w:szCs w:val="28"/>
          <w:lang w:val="en-US"/>
        </w:rPr>
        <w:t>Центральный элемент на диаграмме SaleSystem, который взаимодействуют с другими компонентами и базой данных CarDatabase.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  <w:t>Элемент CarDatabase содержит информацию о пользователе, машинах и информацию о предпочтениях.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  <w:t>Компонент BookingModule, обрабатывает запросы на бронирование, реализующий интерфейс IbookingServese. Согласовывает встречи для дальнейшей покупки и время привозки автомобился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  <w:t xml:space="preserve">Компонент PaymentModule, реализующий интерфейс IpaymentProcessing, обрабатывает оплату бронирования через платёжную систему при выборе машины. 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  <w:t xml:space="preserve">При успешкной покупки информация передается компоненту AdminModule, реализующий интерфейс IadminControl, где решается вопрос куда выдать автомобиль. 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  <w:t>Компонент NotificationService с интерфейсом INotification информирует клиента об успешной покупке, информации о машине и о всяких бонусных вещах, чтоб покупатель распростронял информацию о салоне.</w:t>
      </w:r>
    </w:p>
    <w:p>
      <w:pPr>
        <w:pStyle w:val="BodyText"/>
        <w:rPr/>
      </w:pPr>
      <w:r>
        <w:rPr/>
        <w:tab/>
      </w:r>
    </w:p>
    <w:p>
      <w:pPr>
        <w:pStyle w:val="Heading2"/>
        <w:ind w:hanging="0" w:left="0"/>
        <w:rPr/>
      </w:pPr>
      <w:r>
        <w:rPr/>
        <w:t>2.2 Диаграма развертывания</w:t>
      </w:r>
    </w:p>
    <w:p>
      <w:pPr>
        <w:pStyle w:val="BodyText"/>
        <w:spacing w:lineRule="auto" w:line="360"/>
        <w:rPr/>
      </w:pPr>
      <w:r>
        <w:rPr/>
        <w:tab/>
      </w:r>
      <w:r>
        <w:rPr/>
        <w:t>Построить диаграмму развертывания для собственного варианта(рис. 2)</w:t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69310"/>
            <wp:effectExtent l="0" t="0" r="0" b="0"/>
            <wp:wrapSquare wrapText="largest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Рисунок 2 – Диаграмма развертывания</w:t>
      </w:r>
    </w:p>
    <w:p>
      <w:pPr>
        <w:pStyle w:val="BodyText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r>
        <w:rPr>
          <w:rFonts w:cs="Times New Roman" w:ascii="Times New Roman" w:hAnsi="Times New Roman"/>
          <w:sz w:val="28"/>
          <w:szCs w:val="28"/>
          <w:lang w:val="ru-RU" w:eastAsia="zh-CN" w:bidi="hi-IN"/>
        </w:rPr>
        <w:t>На диаграмме показана аппаратно-программная архитектура системы, обеспечивающей продажу подержанных автомобилей в автосалоне.</w:t>
      </w:r>
    </w:p>
    <w:p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Cs w:val="28"/>
        </w:rPr>
        <w:t>Основные компоненты системы: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Cs w:val="28"/>
        </w:rPr>
        <w:t>Сервер приложений</w:t>
      </w:r>
      <w:r>
        <w:rPr>
          <w:rFonts w:cs="Times New Roman" w:ascii="Times New Roman" w:hAnsi="Times New Roman"/>
          <w:szCs w:val="28"/>
        </w:rPr>
        <w:t xml:space="preserve"> – ядро системы, на котором работает модуль </w:t>
      </w:r>
      <w:r>
        <w:rPr>
          <w:rStyle w:val="Strong"/>
          <w:rFonts w:cs="Times New Roman" w:ascii="Times New Roman" w:hAnsi="Times New Roman"/>
          <w:b w:val="false"/>
          <w:bCs w:val="false"/>
          <w:szCs w:val="28"/>
        </w:rPr>
        <w:t>SaleSystem</w:t>
      </w:r>
      <w:r>
        <w:rPr>
          <w:rFonts w:cs="Times New Roman" w:ascii="Times New Roman" w:hAnsi="Times New Roman"/>
          <w:b w:val="false"/>
          <w:bCs w:val="false"/>
          <w:szCs w:val="28"/>
        </w:rPr>
        <w:t>,</w:t>
      </w:r>
      <w:r>
        <w:rPr>
          <w:rFonts w:cs="Times New Roman" w:ascii="Times New Roman" w:hAnsi="Times New Roman"/>
          <w:szCs w:val="28"/>
        </w:rPr>
        <w:t xml:space="preserve"> отвечающий за бизнес-процессы: оформление продаж, управление клиентской базой, отправку уведомлений и интеграцию со сторонними сервисами.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Cs w:val="28"/>
        </w:rPr>
        <w:t>Рабочее место администратора</w:t>
      </w:r>
      <w:r>
        <w:rPr>
          <w:rFonts w:cs="Times New Roman" w:ascii="Times New Roman" w:hAnsi="Times New Roman"/>
          <w:szCs w:val="28"/>
        </w:rPr>
        <w:t xml:space="preserve"> – включает компьютер и принтер для печати документов (договоров, чеков, отчётов). Связь с сервером приложений осуществляется по защищённому HTTPS-протоколу.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Cs w:val="28"/>
        </w:rPr>
        <w:t>Сервер базы данных</w:t>
      </w:r>
      <w:r>
        <w:rPr>
          <w:rFonts w:cs="Times New Roman" w:ascii="Times New Roman" w:hAnsi="Times New Roman"/>
          <w:szCs w:val="28"/>
        </w:rPr>
        <w:t xml:space="preserve"> – хранит всю критически важную информацию, разделённую на две основные базы: </w:t>
      </w:r>
      <w:r>
        <w:rPr>
          <w:rStyle w:val="Strong"/>
          <w:rFonts w:cs="Times New Roman" w:ascii="Times New Roman" w:hAnsi="Times New Roman"/>
          <w:b w:val="false"/>
          <w:bCs w:val="false"/>
          <w:szCs w:val="28"/>
        </w:rPr>
        <w:t>БД автомобилей</w:t>
      </w:r>
      <w:r>
        <w:rPr>
          <w:rFonts w:cs="Times New Roman" w:ascii="Times New Roman" w:hAnsi="Times New Roman"/>
          <w:b w:val="false"/>
          <w:bCs w:val="false"/>
          <w:szCs w:val="28"/>
        </w:rPr>
        <w:t xml:space="preserve"> и </w:t>
      </w:r>
      <w:r>
        <w:rPr>
          <w:rStyle w:val="Strong"/>
          <w:rFonts w:cs="Times New Roman" w:ascii="Times New Roman" w:hAnsi="Times New Roman"/>
          <w:b w:val="false"/>
          <w:bCs w:val="false"/>
          <w:szCs w:val="28"/>
        </w:rPr>
        <w:t>БД клиентов</w:t>
      </w:r>
      <w:r>
        <w:rPr>
          <w:rFonts w:cs="Times New Roman" w:ascii="Times New Roman" w:hAnsi="Times New Roman"/>
          <w:b w:val="false"/>
          <w:bCs w:val="false"/>
          <w:szCs w:val="28"/>
        </w:rPr>
        <w:t>.</w:t>
      </w:r>
      <w:r>
        <w:rPr>
          <w:rFonts w:cs="Times New Roman" w:ascii="Times New Roman" w:hAnsi="Times New Roman"/>
          <w:szCs w:val="28"/>
        </w:rPr>
        <w:t xml:space="preserve"> Обмен данными между сервером приложений и БД происходит через SQL-запросы.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Cs w:val="28"/>
        </w:rPr>
        <w:t>Система резервного копирования</w:t>
      </w:r>
      <w:r>
        <w:rPr>
          <w:rFonts w:cs="Times New Roman" w:ascii="Times New Roman" w:hAnsi="Times New Roman"/>
          <w:szCs w:val="28"/>
        </w:rPr>
        <w:t xml:space="preserve"> – обеспечивает регулярное сохранение данных через SFTP-соединение с сервером БД, что позволяет быстро восстановить информацию при аварийных ситуациях.</w:t>
      </w:r>
    </w:p>
    <w:p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Cs w:val="28"/>
        </w:rPr>
        <w:t>Интеграция с внешними сервисами: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Cs w:val="28"/>
        </w:rPr>
        <w:t>Платёжная система</w:t>
      </w:r>
      <w:r>
        <w:rPr>
          <w:rFonts w:cs="Times New Roman" w:ascii="Times New Roman" w:hAnsi="Times New Roman"/>
          <w:b w:val="false"/>
          <w:bCs w:val="false"/>
          <w:szCs w:val="28"/>
        </w:rPr>
        <w:t xml:space="preserve"> – обработка финансовых транзакций.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Cs w:val="28"/>
        </w:rPr>
        <w:t>Почтовый сервер</w:t>
      </w:r>
      <w:r>
        <w:rPr>
          <w:rFonts w:cs="Times New Roman" w:ascii="Times New Roman" w:hAnsi="Times New Roman"/>
          <w:b w:val="false"/>
          <w:bCs w:val="false"/>
          <w:szCs w:val="28"/>
        </w:rPr>
        <w:t xml:space="preserve"> – отправка уведомлений и документов клиентам.</w:t>
      </w:r>
    </w:p>
    <w:p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Cs w:val="28"/>
        </w:rPr>
        <w:t xml:space="preserve">Связь с внешними сервисами осуществляется через </w:t>
      </w:r>
      <w:r>
        <w:rPr>
          <w:rStyle w:val="Strong"/>
          <w:rFonts w:cs="Times New Roman" w:ascii="Times New Roman" w:hAnsi="Times New Roman"/>
          <w:b w:val="false"/>
          <w:bCs w:val="false"/>
          <w:szCs w:val="28"/>
        </w:rPr>
        <w:t>API</w:t>
      </w:r>
      <w:r>
        <w:rPr>
          <w:rFonts w:cs="Times New Roman" w:ascii="Times New Roman" w:hAnsi="Times New Roman"/>
          <w:b w:val="false"/>
          <w:bCs w:val="false"/>
          <w:szCs w:val="28"/>
        </w:rPr>
        <w:t xml:space="preserve"> по стандартным протоколам.</w:t>
      </w:r>
    </w:p>
    <w:p>
      <w:pPr>
        <w:pStyle w:val="Normal"/>
        <w:spacing w:lineRule="auto" w:line="360"/>
        <w:ind w:hanging="0"/>
        <w:jc w:val="both"/>
        <w:rPr>
          <w:lang w:val="ru-RU" w:eastAsia="zh-CN" w:bidi="hi-IN"/>
        </w:rPr>
      </w:pPr>
      <w:r>
        <w:rPr>
          <w:rFonts w:cs="Times New Roman" w:ascii="Times New Roman" w:hAnsi="Times New Roman"/>
          <w:sz w:val="28"/>
          <w:szCs w:val="28"/>
          <w:lang w:val="ru-RU" w:eastAsia="zh-CN" w:bidi="hi-IN"/>
        </w:rPr>
      </w:r>
      <w:r>
        <w:br w:type="page"/>
      </w:r>
    </w:p>
    <w:p>
      <w:pPr>
        <w:pStyle w:val="Heading1"/>
        <w:spacing w:lineRule="auto" w:line="360" w:before="0" w:after="0"/>
        <w:rPr/>
      </w:pPr>
      <w:r>
        <w:rPr/>
        <w:t>ВЫВОД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 ходе выполнения практической работы были изучены принципы построения UML-диаграмм компонентов и развертывания на примере системы организации авиаперевозок грузов.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qFormat/>
    <w:pPr>
      <w:keepNext w:val="true"/>
      <w:keepLines/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uto" w:line="259" w:before="0" w:after="0"/>
      <w:ind w:left="472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ru-RU" w:eastAsia="ru-RU" w:bidi="ar-SA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tabs>
        <w:tab w:val="clear" w:pos="708"/>
      </w:tabs>
      <w:spacing w:before="200" w:after="120"/>
      <w:jc w:val="both"/>
      <w:outlineLvl w:val="1"/>
    </w:pPr>
    <w:rPr>
      <w:rFonts w:ascii="Times New Roman" w:hAnsi="Times New Roman"/>
      <w:b/>
      <w:bCs/>
      <w:sz w:val="28"/>
      <w:szCs w:val="32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color w:val="000000"/>
      <w:sz w:val="32"/>
      <w:lang w:eastAsia="ru-RU"/>
    </w:rPr>
  </w:style>
  <w:style w:type="character" w:styleId="Style12">
    <w:name w:val="Символ нумерации"/>
    <w:qFormat/>
    <w:rPr>
      <w:rFonts w:ascii="TImes New Roman" w:hAnsi="TImes New Roman"/>
      <w:b w:val="false"/>
      <w:bCs w:val="false"/>
      <w:sz w:val="28"/>
      <w:szCs w:val="28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widowControl/>
      <w:suppressAutoHyphens w:val="false"/>
      <w:spacing w:before="280" w:after="280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  <w:textAlignment w:val="baseline"/>
    </w:pPr>
    <w:rPr>
      <w:rFonts w:ascii="Calibri" w:hAnsi="Calibri" w:eastAsia="Calibri" w:cs="Arial"/>
      <w:color w:val="auto"/>
      <w:kern w:val="2"/>
      <w:sz w:val="20"/>
      <w:szCs w:val="20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>
      <w:rFonts w:cs="Mangal"/>
      <w:szCs w:val="21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numbering" w:styleId="Style1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Application>LibreOffice/25.2.2.2$Linux_X86_64 LibreOffice_project/520$Build-2</Application>
  <AppVersion>15.0000</AppVersion>
  <Pages>6</Pages>
  <Words>412</Words>
  <Characters>3190</Characters>
  <CharactersWithSpaces>3578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2025-03-26T03:14:00Z</dcterms:created>
  <dc:creator>Пользователь Windows</dc:creator>
  <dc:description/>
  <dc:language>ru-RU</dc:language>
  <cp:lastModifiedBy/>
  <dcterms:modified xsi:type="dcterms:W3CDTF">2025-05-14T13:56:09Z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