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6820" cy="85585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820" cy="855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ae"/>
        <w:tblW w:w="4962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28" w:type="dxa"/>
        </w:tblCellMar>
        <w:tblLook w:val="04a0" w:noHBand="0" w:noVBand="1" w:firstColumn="1" w:lastRow="0" w:lastColumn="0" w:firstRow="1"/>
      </w:tblPr>
      <w:tblGrid>
        <w:gridCol w:w="332"/>
        <w:gridCol w:w="528"/>
        <w:gridCol w:w="336"/>
        <w:gridCol w:w="237"/>
        <w:gridCol w:w="2252"/>
        <w:gridCol w:w="284"/>
        <w:gridCol w:w="460"/>
        <w:gridCol w:w="532"/>
      </w:tblGrid>
      <w:tr>
        <w:trPr/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ru-RU" w:bidi="ar-SA"/>
              </w:rPr>
              <w:t>УТВЕРЖДАЮ</w:t>
            </w:r>
          </w:p>
        </w:tc>
      </w:tr>
      <w:tr>
        <w:trPr/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>Заместитель директора департамента</w:t>
              <w:br/>
              <w:t>Компания</w:t>
            </w:r>
          </w:p>
        </w:tc>
      </w:tr>
      <w:tr>
        <w:trPr/>
        <w:tc>
          <w:tcPr>
            <w:tcW w:w="3685" w:type="dxa"/>
            <w:gridSpan w:val="5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>ФИО</w:t>
            </w:r>
          </w:p>
        </w:tc>
      </w:tr>
      <w:tr>
        <w:trPr/>
        <w:tc>
          <w:tcPr>
            <w:tcW w:w="3685" w:type="dxa"/>
            <w:gridSpan w:val="5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  <w:vertAlign w:val="superscript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vertAlign w:val="superscript"/>
                <w:lang w:val="ru-RU" w:bidi="ar-SA"/>
              </w:rPr>
              <w:t>(личная подпись)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</w:tr>
      <w:tr>
        <w:trPr/>
        <w:tc>
          <w:tcPr>
            <w:tcW w:w="3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>«</w:t>
            </w:r>
          </w:p>
        </w:tc>
        <w:tc>
          <w:tcPr>
            <w:tcW w:w="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>»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  <w:tc>
          <w:tcPr>
            <w:tcW w:w="225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0"/>
                <w:lang w:val="ru-RU" w:bidi="ar-SA"/>
              </w:rPr>
              <w:t>20</w:t>
            </w:r>
          </w:p>
        </w:tc>
        <w:tc>
          <w:tcPr>
            <w:tcW w:w="53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</w:rPr>
      </w:pPr>
      <w:r>
        <w:rPr>
          <w:rFonts w:cs="Times New Roman" w:ascii="Times New Roman" w:hAnsi="Times New Roman"/>
          <w:b/>
          <w:sz w:val="32"/>
        </w:rPr>
        <w:t>Пояснительная записка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ИТ-инфраструктура ТВ-канала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Компания АО «digital-tv»</w:t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Москва</w:t>
      </w:r>
    </w:p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418" w:right="1134" w:gutter="0" w:header="709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BodyText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2025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en-US"/>
        </w:rPr>
      </w:pPr>
      <w:r>
        <w:rPr>
          <w:rFonts w:cs="Times New Roman" w:ascii="Times New Roman" w:hAnsi="Times New Roman"/>
          <w:b/>
          <w:sz w:val="28"/>
          <w:lang w:val="en-US"/>
        </w:rPr>
      </w:r>
      <w:bookmarkStart w:id="0" w:name="_Toc90360757"/>
      <w:bookmarkStart w:id="1" w:name="_Toc90361789"/>
      <w:bookmarkStart w:id="2" w:name="_Toc90361837"/>
      <w:bookmarkStart w:id="3" w:name="_Toc90361878"/>
      <w:bookmarkStart w:id="4" w:name="_Toc90362207"/>
      <w:bookmarkStart w:id="5" w:name="_Toc193278765"/>
      <w:bookmarkStart w:id="6" w:name="_Toc193278951"/>
      <w:bookmarkStart w:id="7" w:name="_Toc90288947"/>
      <w:bookmarkStart w:id="8" w:name="_Toc90289059"/>
      <w:bookmarkStart w:id="9" w:name="_Toc90289102"/>
      <w:bookmarkStart w:id="10" w:name="_Toc90289407"/>
      <w:bookmarkStart w:id="11" w:name="_Toc90360388"/>
      <w:bookmarkStart w:id="12" w:name="_Toc90360757"/>
      <w:bookmarkStart w:id="13" w:name="_Toc90361789"/>
      <w:bookmarkStart w:id="14" w:name="_Toc90361837"/>
      <w:bookmarkStart w:id="15" w:name="_Toc90361878"/>
      <w:bookmarkStart w:id="16" w:name="_Toc90362207"/>
      <w:bookmarkStart w:id="17" w:name="_Toc193278765"/>
      <w:bookmarkStart w:id="18" w:name="_Toc193278951"/>
      <w:bookmarkStart w:id="19" w:name="_Toc90288947"/>
      <w:bookmarkStart w:id="20" w:name="_Toc90289059"/>
      <w:bookmarkStart w:id="21" w:name="_Toc90289102"/>
      <w:bookmarkStart w:id="22" w:name="_Toc90289407"/>
      <w:bookmarkStart w:id="23" w:name="_Toc90360388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 СОГЛАСОВАНИЯ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ae"/>
        <w:tblW w:w="923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22"/>
        <w:gridCol w:w="1779"/>
        <w:gridCol w:w="2583"/>
        <w:gridCol w:w="1589"/>
        <w:gridCol w:w="1463"/>
      </w:tblGrid>
      <w:tr>
        <w:trPr>
          <w:trHeight w:val="567" w:hRule="atLeast"/>
        </w:trPr>
        <w:tc>
          <w:tcPr>
            <w:tcW w:w="18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0"/>
                <w:lang w:val="ru-RU" w:bidi="ar-SA"/>
              </w:rPr>
              <w:t>Наименование организации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0"/>
                <w:lang w:val="ru-RU" w:bidi="ar-SA"/>
              </w:rPr>
              <w:t>Должность</w:t>
            </w:r>
          </w:p>
        </w:tc>
        <w:tc>
          <w:tcPr>
            <w:tcW w:w="2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0"/>
                <w:lang w:val="ru-RU" w:bidi="ar-SA"/>
              </w:rPr>
              <w:t>Фамилия и инициалы</w:t>
            </w:r>
          </w:p>
        </w:tc>
        <w:tc>
          <w:tcPr>
            <w:tcW w:w="15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0"/>
                <w:lang w:val="ru-RU" w:bidi="ar-SA"/>
              </w:rPr>
              <w:t>Подпись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0"/>
                <w:lang w:val="ru-RU" w:bidi="ar-SA"/>
              </w:rPr>
              <w:t>Дата</w:t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" w:cs="Times New Roman" w:eastAsiaTheme="majorEastAsia"/>
              </w:rPr>
            </w:pPr>
            <w:r>
              <w:rPr>
                <w:rFonts w:eastAsia="" w:cs="Times New Roman" w:eastAsiaTheme="majorEastAsia" w:ascii="Times New Roman" w:hAnsi="Times New Roman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pageBreakBefore w:val="false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24"/>
            </w:rPr>
            <w:instrText xml:space="preserve"> TOC \f \o "1-1" \t "heading 2,1,heading 4,3" \h</w:instrText>
          </w:r>
          <w:r>
            <w:rPr>
              <w:rStyle w:val="Style24"/>
            </w:rPr>
            <w:fldChar w:fldCharType="separate"/>
          </w:r>
          <w:hyperlink w:anchor="__RefHeading___Toc43258_1235471678">
            <w:r>
              <w:rPr>
                <w:rStyle w:val="Style24"/>
              </w:rPr>
              <w:t xml:space="preserve"> </w:t>
            </w:r>
            <w:r>
              <w:rPr>
                <w:rStyle w:val="Style24"/>
              </w:rPr>
              <w:t>1 Общие сведения</w:t>
              <w:tab/>
              <w:t>7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43260_1235471678">
            <w:r>
              <w:rPr>
                <w:rStyle w:val="Style24"/>
              </w:rPr>
              <w:t xml:space="preserve"> </w:t>
            </w:r>
            <w:r>
              <w:rPr>
                <w:rStyle w:val="Style24"/>
              </w:rPr>
              <w:t>2 Основные технические решения</w:t>
              <w:tab/>
              <w:t>9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23329_3475925682">
            <w:r>
              <w:rPr>
                <w:rStyle w:val="Style24"/>
              </w:rPr>
              <w:t>Обеспечивает:</w:t>
              <w:tab/>
              <w:t>15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43262_1235471678">
            <w:r>
              <w:rPr>
                <w:rStyle w:val="Style24"/>
              </w:rPr>
              <w:t xml:space="preserve"> </w:t>
            </w:r>
            <w:r>
              <w:rPr>
                <w:rStyle w:val="Style24"/>
              </w:rPr>
              <w:t>3 Мероприятия по подготовке объекта автоматизации к вводу Системы в действие</w:t>
              <w:tab/>
              <w:t>23</w:t>
            </w:r>
          </w:hyperlink>
          <w:r>
            <w:rPr>
              <w:rStyle w:val="Style24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highlight w:val="none"/>
          <w:shd w:fill="FFFF00" w:val="clear"/>
        </w:rPr>
      </w:pPr>
      <w:r>
        <w:rPr>
          <w:rFonts w:cs="Times New Roman" w:ascii="Times New Roman" w:hAnsi="Times New Roman"/>
          <w:b/>
          <w:sz w:val="28"/>
          <w:shd w:fill="FFFF00" w:val="clear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yle39"/>
        <w:ind w:hanging="0" w:left="576"/>
        <w:rPr/>
      </w:pPr>
      <w:r>
        <w:rPr/>
      </w:r>
      <w:r>
        <w:br w:type="page"/>
      </w:r>
    </w:p>
    <w:p>
      <w:pPr>
        <w:pStyle w:val="Style39"/>
        <w:spacing w:before="0" w:after="60"/>
        <w:ind w:hanging="576" w:left="576"/>
        <w:contextualSpacing/>
        <w:rPr/>
      </w:pPr>
      <w:bookmarkStart w:id="24" w:name="__RefHeading___Toc32401_3142906823"/>
      <w:bookmarkStart w:id="25" w:name="_Toc23149705"/>
      <w:bookmarkEnd w:id="24"/>
      <w:r>
        <w:rPr/>
        <w:t>Перечень принятых сокращений</w:t>
      </w:r>
      <w:bookmarkEnd w:id="25"/>
    </w:p>
    <w:tbl>
      <w:tblPr>
        <w:tblW w:w="9568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12"/>
        <w:gridCol w:w="7655"/>
      </w:tblGrid>
      <w:tr>
        <w:trPr>
          <w:tblHeader w:val="true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Сокращение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Расшифровка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CDN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Content Delivery Network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HLS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HTTP Live Streaming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RTMP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Real-Time Messaging Protocol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SMPTE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Society of Motion Picture and Television Engineers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SDI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Serial Digital Interface</w:t>
            </w:r>
          </w:p>
        </w:tc>
      </w:tr>
      <w:tr>
        <w:trPr>
          <w:trHeight w:val="159" w:hRule="atLeast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NDI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Network Device Interface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PTP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Precision Time Protocol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QoS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Quality of Service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MCR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Master Control Room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NLE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Non-Linear Editing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SAN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Storage Area Network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NAS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Network-Attached Storage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VM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Virtual Machine</w:t>
            </w:r>
          </w:p>
        </w:tc>
      </w:tr>
      <w:tr>
        <w:trPr>
          <w:trHeight w:val="94" w:hRule="atLeast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VOD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Video on Demand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Роскомнадзор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Федеральная служба по надзору в сфере связи, ИТ и массовых коммуникаций</w:t>
            </w:r>
          </w:p>
        </w:tc>
      </w:tr>
      <w:tr>
        <w:trPr>
          <w:trHeight w:val="135" w:hRule="atLeast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ФСТЭК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Федеральная служба по техническому и экспортному контролю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ФСБ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Федеральная служба безопасности</w:t>
            </w:r>
          </w:p>
        </w:tc>
      </w:tr>
      <w:tr>
        <w:trPr/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Style w:val="Strong"/>
                <w:rFonts w:cs="Times New Roman" w:ascii="Times New Roman" w:hAnsi="Times New Roman"/>
                <w:sz w:val="24"/>
                <w:szCs w:val="24"/>
                <w:lang w:val="en-US"/>
              </w:rPr>
              <w:t>ГОСТ Р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Государственный стандарт России</w:t>
            </w:r>
          </w:p>
        </w:tc>
      </w:tr>
    </w:tbl>
    <w:p>
      <w:pPr>
        <w:pStyle w:val="Heading1"/>
        <w:spacing w:before="0" w:after="60"/>
        <w:rPr/>
      </w:pPr>
      <w:bookmarkStart w:id="26" w:name="__RefHeading___Toc43258_1235471678"/>
      <w:bookmarkStart w:id="27" w:name="_Toc23149706"/>
      <w:bookmarkEnd w:id="26"/>
      <w:r>
        <w:rPr/>
        <w:t>Общие сведения</w:t>
      </w:r>
      <w:bookmarkEnd w:id="27"/>
    </w:p>
    <w:p>
      <w:pPr>
        <w:pStyle w:val="Heading2"/>
        <w:numPr>
          <w:ilvl w:val="1"/>
          <w:numId w:val="1"/>
        </w:numPr>
        <w:rPr/>
      </w:pPr>
      <w:bookmarkStart w:id="28" w:name="_Toc23149707"/>
      <w:r>
        <w:rPr/>
        <w:t>Наименование проектируемой Системы</w:t>
      </w:r>
      <w:bookmarkEnd w:id="28"/>
    </w:p>
    <w:p>
      <w:pPr>
        <w:pStyle w:val="Style29"/>
        <w:ind w:hanging="0"/>
        <w:rPr/>
      </w:pPr>
      <w:r>
        <w:rPr/>
        <w:tab/>
        <w:t>Полное наименование системы: Инфраструктура ТВ-канала (далее – Система).</w:t>
      </w:r>
    </w:p>
    <w:p>
      <w:pPr>
        <w:pStyle w:val="Heading2"/>
        <w:numPr>
          <w:ilvl w:val="1"/>
          <w:numId w:val="1"/>
        </w:numPr>
        <w:rPr/>
      </w:pPr>
      <w:bookmarkStart w:id="29" w:name="_Toc23149708"/>
      <w:r>
        <w:rPr/>
        <w:t>Основание для создания Системы</w:t>
      </w:r>
      <w:bookmarkEnd w:id="29"/>
    </w:p>
    <w:p>
      <w:pPr>
        <w:pStyle w:val="Style29"/>
        <w:rPr/>
      </w:pPr>
      <w:r>
        <w:rPr/>
        <w:tab/>
        <w:t>Работы по созданию Системы проводятся на основании Технического задания и Указания о начале работ и создании РГ по Проекту Инфраструктура ТВ-канала.</w:t>
      </w:r>
    </w:p>
    <w:p>
      <w:pPr>
        <w:pStyle w:val="Heading2"/>
        <w:numPr>
          <w:ilvl w:val="1"/>
          <w:numId w:val="1"/>
        </w:numPr>
        <w:rPr/>
      </w:pPr>
      <w:bookmarkStart w:id="30" w:name="__RefHeading___Toc23327_3475925682"/>
      <w:bookmarkStart w:id="31" w:name="_Toc23149709"/>
      <w:bookmarkEnd w:id="30"/>
      <w:r>
        <w:rPr/>
        <w:t>Перечень организаций, участвующих в разработке Системы</w:t>
      </w:r>
      <w:bookmarkEnd w:id="31"/>
    </w:p>
    <w:p>
      <w:pPr>
        <w:pStyle w:val="Style29"/>
        <w:rPr/>
      </w:pPr>
      <w:r>
        <w:rPr/>
        <w:t>Организации, участвующие в создании Системы:</w:t>
      </w:r>
    </w:p>
    <w:p>
      <w:pPr>
        <w:pStyle w:val="Style29"/>
        <w:numPr>
          <w:ilvl w:val="0"/>
          <w:numId w:val="12"/>
        </w:numPr>
        <w:rPr>
          <w:rStyle w:val="Emphasis"/>
        </w:rPr>
      </w:pPr>
      <w:r>
        <w:rPr>
          <w:rStyle w:val="Emphasis"/>
        </w:rPr>
        <w:t>Заказчик:.</w:t>
      </w:r>
    </w:p>
    <w:p>
      <w:pPr>
        <w:pStyle w:val="Style29"/>
        <w:numPr>
          <w:ilvl w:val="0"/>
          <w:numId w:val="12"/>
        </w:numPr>
        <w:rPr/>
      </w:pPr>
      <w:r>
        <w:rPr>
          <w:rStyle w:val="Emphasis"/>
        </w:rPr>
        <w:t>Исполнитель:.</w:t>
      </w:r>
    </w:p>
    <w:p>
      <w:pPr>
        <w:pStyle w:val="Heading2"/>
        <w:numPr>
          <w:ilvl w:val="1"/>
          <w:numId w:val="1"/>
        </w:numPr>
        <w:rPr/>
      </w:pPr>
      <w:bookmarkStart w:id="32" w:name="__RefHeading___Toc32403_3142906823"/>
      <w:bookmarkStart w:id="33" w:name="_Toc23149710"/>
      <w:bookmarkEnd w:id="32"/>
      <w:r>
        <w:rPr/>
        <w:t>Плановые сроки начала и окончания работ по созданию Системы</w:t>
      </w:r>
      <w:bookmarkEnd w:id="33"/>
    </w:p>
    <w:p>
      <w:pPr>
        <w:pStyle w:val="Style29"/>
        <w:rPr/>
      </w:pPr>
      <w:bookmarkStart w:id="34" w:name="_Toc363663069"/>
      <w:r>
        <w:rPr/>
        <w:t xml:space="preserve">Плановые сроки начала и окончания работ </w:t>
      </w:r>
      <w:bookmarkEnd w:id="34"/>
      <w:r>
        <w:rPr/>
        <w:t>определяются согласно Плана Проекта.</w:t>
      </w:r>
    </w:p>
    <w:p>
      <w:pPr>
        <w:pStyle w:val="Heading2"/>
        <w:numPr>
          <w:ilvl w:val="1"/>
          <w:numId w:val="1"/>
        </w:numPr>
        <w:rPr/>
      </w:pPr>
      <w:bookmarkStart w:id="35" w:name="__RefHeading___Toc32405_3142906823"/>
      <w:bookmarkStart w:id="36" w:name="_Toc23149711"/>
      <w:bookmarkEnd w:id="35"/>
      <w:r>
        <w:rPr/>
        <w:t>Назначение и цели создания Системы</w:t>
      </w:r>
      <w:bookmarkEnd w:id="36"/>
    </w:p>
    <w:p>
      <w:pPr>
        <w:pStyle w:val="Style29"/>
        <w:rPr/>
      </w:pPr>
      <w:r>
        <w:rPr/>
        <w:t>Система является программно-аппаратным комплексом и обеспечивает размещение и работоспособность информационных систем (ИС).</w:t>
      </w:r>
    </w:p>
    <w:p>
      <w:pPr>
        <w:pStyle w:val="Style29"/>
        <w:rPr>
          <w:rStyle w:val="Emphasis"/>
        </w:rPr>
      </w:pPr>
      <w:r>
        <w:rPr>
          <w:rStyle w:val="Emphasis"/>
        </w:rPr>
        <w:t>Целью создания Системы является:</w:t>
      </w:r>
    </w:p>
    <w:p>
      <w:pPr>
        <w:pStyle w:val="Style29"/>
        <w:numPr>
          <w:ilvl w:val="0"/>
          <w:numId w:val="9"/>
        </w:numPr>
        <w:rPr/>
      </w:pPr>
      <w:r>
        <w:rPr/>
        <w:t>Увеличение объема вычислительных ресурсов;</w:t>
      </w:r>
    </w:p>
    <w:p>
      <w:pPr>
        <w:pStyle w:val="Style29"/>
        <w:numPr>
          <w:ilvl w:val="0"/>
          <w:numId w:val="9"/>
        </w:numPr>
        <w:rPr/>
      </w:pPr>
      <w:r>
        <w:rPr/>
        <w:t>Повышение уровня доступности ИС.</w:t>
      </w:r>
    </w:p>
    <w:p>
      <w:pPr>
        <w:pStyle w:val="Heading2"/>
        <w:numPr>
          <w:ilvl w:val="1"/>
          <w:numId w:val="1"/>
        </w:numPr>
        <w:rPr/>
      </w:pPr>
      <w:bookmarkStart w:id="37" w:name="__RefHeading___Toc32407_3142906823"/>
      <w:bookmarkStart w:id="38" w:name="_Toc23149712"/>
      <w:bookmarkEnd w:id="37"/>
      <w:r>
        <w:rPr/>
        <w:t>Очередность создания Системы</w:t>
      </w:r>
      <w:bookmarkEnd w:id="38"/>
    </w:p>
    <w:p>
      <w:pPr>
        <w:pStyle w:val="Style29"/>
        <w:rPr/>
      </w:pPr>
      <w:r>
        <w:rPr/>
        <w:t>Создание Системы состоит из следующих стадий:</w:t>
      </w:r>
    </w:p>
    <w:p>
      <w:pPr>
        <w:pStyle w:val="Style29"/>
        <w:numPr>
          <w:ilvl w:val="0"/>
          <w:numId w:val="11"/>
        </w:numPr>
        <w:rPr/>
      </w:pPr>
      <w:r>
        <w:rPr/>
        <w:t>Техническое задание</w:t>
      </w:r>
      <w:r>
        <w:rPr>
          <w:lang w:val="en-US"/>
        </w:rPr>
        <w:t>;</w:t>
      </w:r>
    </w:p>
    <w:p>
      <w:pPr>
        <w:pStyle w:val="Style29"/>
        <w:numPr>
          <w:ilvl w:val="0"/>
          <w:numId w:val="11"/>
        </w:numPr>
        <w:rPr/>
      </w:pPr>
      <w:r>
        <w:rPr/>
        <w:t>Технический проект</w:t>
      </w:r>
      <w:r>
        <w:rPr>
          <w:lang w:val="en-US"/>
        </w:rPr>
        <w:t>;</w:t>
      </w:r>
    </w:p>
    <w:p>
      <w:pPr>
        <w:pStyle w:val="Style29"/>
        <w:numPr>
          <w:ilvl w:val="0"/>
          <w:numId w:val="11"/>
        </w:numPr>
        <w:rPr/>
      </w:pPr>
      <w:r>
        <w:rPr/>
        <w:t>Испытания и ввод в действие.</w:t>
      </w:r>
    </w:p>
    <w:p>
      <w:pPr>
        <w:pStyle w:val="Heading2"/>
        <w:numPr>
          <w:ilvl w:val="1"/>
          <w:numId w:val="1"/>
        </w:numPr>
        <w:rPr>
          <w:szCs w:val="28"/>
        </w:rPr>
      </w:pPr>
      <w:bookmarkStart w:id="39" w:name="__RefHeading___Toc32409_3142906823"/>
      <w:bookmarkStart w:id="40" w:name="_Toc23149713"/>
      <w:bookmarkEnd w:id="39"/>
      <w:r>
        <w:rPr/>
        <w:t>Соответствие проектных решений нормам и правилам техники безопасности, пожаро- и взрывобезопасности</w:t>
      </w:r>
      <w:bookmarkEnd w:id="40"/>
    </w:p>
    <w:p>
      <w:pPr>
        <w:pStyle w:val="Style29"/>
        <w:rPr/>
      </w:pPr>
      <w:r>
        <w:rPr/>
        <w:t>Предлагаемые проектные решения предусматривают использование унифицированных изделий или других компонентов, прошедших, в случаях, предусмотренных нормативными актами РФ, обязательную сертификацию на соответствие действующим требованиям, нормам и правилам техники безопасности, пожаро- и взрывобезопасности и т.п. и разрешенных к использованию на территории РФ.</w:t>
      </w:r>
    </w:p>
    <w:p>
      <w:pPr>
        <w:pStyle w:val="Heading2"/>
        <w:numPr>
          <w:ilvl w:val="1"/>
          <w:numId w:val="1"/>
        </w:numPr>
        <w:rPr>
          <w:szCs w:val="28"/>
        </w:rPr>
      </w:pPr>
      <w:bookmarkStart w:id="41" w:name="__RefHeading___Toc32411_3142906823"/>
      <w:bookmarkStart w:id="42" w:name="_Toc23149714"/>
      <w:bookmarkEnd w:id="41"/>
      <w:r>
        <w:rPr/>
        <w:t>Используемые при проектировании нормативно-технические документы</w:t>
      </w:r>
      <w:bookmarkEnd w:id="42"/>
    </w:p>
    <w:p>
      <w:pPr>
        <w:pStyle w:val="Style29"/>
        <w:rPr/>
      </w:pPr>
      <w:r>
        <w:rPr/>
        <w:t>При проектировании Системы использованы следующие нормативно-технические документы: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Р 59162-2020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"Информационные технологии. Методы и средства обеспечения безопасности. Безопасность сетей. Часть 6. Обеспечение информационной безопасности при использовании беспроводных IP-сетей" (актуально для защиты передачи данных в инфраструктуре ТВ-вещания).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Р 57580.1-2017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"Безопасность финансовых (банковских) операций. Защита информации финансовых организаций" (может применяться для защиты транзакционных и медийных данных) 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Р 34.12-2015, ГОСТ Р 34.13-2015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Алгоритмы шифрования данных (используются в VPN-решениях для защиты каналов связи, что актуально для ТВ-вещания) 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22731-77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"Системы передачи данных. Процедуры управления звеном передачи данных" (регулирует передачу данных в сетях).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27771-88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"Процедурные характеристики на стыке между оконечным оборудованием данных и аппаратурой окончания канала данных" (важен для интеграции оборудования).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28470-90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"Система технического обслуживания и ремонта технических средств вычислительной техники и информатики" (регламентирует эксплуатацию серверного и сетевого оборудования).</w:t>
      </w:r>
    </w:p>
    <w:p>
      <w:pPr>
        <w:pStyle w:val="Style29"/>
        <w:numPr>
          <w:ilvl w:val="0"/>
          <w:numId w:val="19"/>
        </w:numPr>
        <w:rPr/>
      </w:pPr>
      <w:r>
        <w:rPr>
          <w:rStyle w:val="Strong"/>
          <w:rFonts w:cs="Times New Roman"/>
          <w:b w:val="false"/>
          <w:bCs w:val="false"/>
          <w:sz w:val="24"/>
          <w:szCs w:val="24"/>
          <w:lang w:eastAsia="ru-RU"/>
        </w:rPr>
        <w:t>ГОСТ IEC 60950-1-2014</w:t>
      </w:r>
      <w:r>
        <w:rPr>
          <w:rFonts w:cs="Times New Roman"/>
          <w:b w:val="false"/>
          <w:bCs w:val="false"/>
          <w:sz w:val="24"/>
          <w:szCs w:val="24"/>
          <w:lang w:eastAsia="ru-RU"/>
        </w:rPr>
        <w:t xml:space="preserve"> – "Оборудование информационных технологий. Требования безопасности" (обязателен для сертификации ИТ-оборудования)</w:t>
      </w:r>
    </w:p>
    <w:p>
      <w:pPr>
        <w:pStyle w:val="Style29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/>
          <w:sz w:val="24"/>
          <w:szCs w:val="24"/>
          <w:lang w:eastAsia="ru-RU"/>
        </w:rPr>
      </w:r>
    </w:p>
    <w:p>
      <w:pPr>
        <w:pStyle w:val="Style29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/>
          <w:sz w:val="24"/>
          <w:szCs w:val="24"/>
          <w:lang w:eastAsia="ru-RU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Heading1"/>
        <w:tabs>
          <w:tab w:val="clear" w:pos="708"/>
          <w:tab w:val="left" w:pos="1213" w:leader="none"/>
        </w:tabs>
        <w:spacing w:lineRule="auto" w:line="360" w:before="0" w:after="60"/>
        <w:contextualSpacing/>
        <w:jc w:val="both"/>
        <w:rPr>
          <w:highlight w:val="none"/>
          <w:shd w:fill="auto" w:val="clear"/>
        </w:rPr>
      </w:pPr>
      <w:bookmarkStart w:id="43" w:name="__RefHeading___Toc43260_1235471678"/>
      <w:bookmarkStart w:id="44" w:name="_Toc90289059_Копия_1"/>
      <w:bookmarkStart w:id="45" w:name="_Toc212538248"/>
      <w:bookmarkStart w:id="46" w:name="_Toc23149715"/>
      <w:bookmarkStart w:id="47" w:name="_Toc90289407_Копия_1"/>
      <w:bookmarkStart w:id="48" w:name="_Toc90360388_Копия_1"/>
      <w:bookmarkStart w:id="49" w:name="_Toc90288947_Копия_1"/>
      <w:bookmarkStart w:id="50" w:name="_Toc318385566_Копия_1"/>
      <w:bookmarkStart w:id="51" w:name="_Toc90289102_Копия_1"/>
      <w:bookmarkEnd w:id="43"/>
      <w:bookmarkEnd w:id="44"/>
      <w:bookmarkEnd w:id="45"/>
      <w:bookmarkEnd w:id="47"/>
      <w:bookmarkEnd w:id="48"/>
      <w:bookmarkEnd w:id="49"/>
      <w:bookmarkEnd w:id="50"/>
      <w:bookmarkEnd w:id="51"/>
      <w:r>
        <w:rPr>
          <w:rFonts w:cs="Times New Roman"/>
          <w:shd w:fill="auto" w:val="clear"/>
        </w:rPr>
        <w:t>Основные технические решения</w:t>
      </w:r>
      <w:bookmarkEnd w:id="46"/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  <w:lang w:eastAsia="ru-RU"/>
        </w:rPr>
        <w:t>В рамках проекта создания ИТ-инфраструктуры ТВ-канала применяется единая политика именования технических и программных объектов, обеспечивающая стандартизацию, удобство администрирования и однозначную идентификацию компонентов системы. Политика именования базируется на внутренних документах «Стандарт именования серверов и сетевых устройств» и «Правила именования оборудования, виртуальных машин и сервисов в ИТ-инфраструктуре» (редакция 1.0).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  <w:lang w:eastAsia="ru-RU"/>
        </w:rPr>
        <w:t>Для обеспечения логичности и удобства управления используется иерархическая система именования. Физические серверы именуются по шаблону SRV-&lt;Функция&gt;-&lt;Номер&gt;, например SRV-MEDIA-01 для сервера обработки медиапотоков. Виртуальные машины получают имена по формату VM-&lt;Сервис&gt;-&lt;Среда&gt;-&lt;Номер&gt;, как VM-PLAYOUT-PROD-02 для ВМ эфирного вещания в продакшене. Сетевые устройства именуются по схеме SW-&lt;Тип&gt;-&lt;Локация&gt;-&lt;Номер&gt;, например SW-CORE-DC1-01 для основного коммутатора в дата-центре.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  <w:lang w:eastAsia="ru-RU"/>
        </w:rPr>
        <w:t>Для специализированного оборудования вещательного комплекса применяются дополнительные правила именования. Видеосерверы обозначаются как VS-&lt;Назначение&gt;-&lt;Зона&gt;-&lt;Номер&gt; (VS-PLAYOUT-AIR-01), а системы хранения медиаконтента - ST-&lt;Тип&gt;-&lt;Класс&gt;-&lt;Номер&gt; (ST-ARCHIVE-TIER2-01). Особое внимание уделяется именованию критичных компонентов: серверы эфирного вещания получают префикс AIR-, а оборудование резервного центра - DR-.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jc w:val="both"/>
        <w:rPr/>
      </w:pPr>
      <w:r>
        <w:rPr>
          <w:rFonts w:cs="Times New Roman" w:ascii="Times New Roman" w:hAnsi="Times New Roman"/>
          <w:sz w:val="24"/>
          <w:szCs w:val="24"/>
          <w:lang w:eastAsia="ru-RU"/>
        </w:rPr>
        <w:t>В процессе разработки проектного решения предусматривается создание новых шаблонов именования для типов объектов, отсутствующих в текущих стандартах, таких как оборудование IP-вещания (IP-префикс) и облачные медиасервисы (CLOUD-префикс). Разработанные шаблоны будут включены в обновленные редакции документов политики именования. Для обеспечения преемственности новая система именования сохраняет совместимость с существующими стандартами компании, дополняя их отраслевой спецификой телевизионного вещания.</w:t>
      </w:r>
    </w:p>
    <w:p>
      <w:pPr>
        <w:pStyle w:val="Heading2"/>
        <w:numPr>
          <w:ilvl w:val="1"/>
          <w:numId w:val="1"/>
        </w:numPr>
        <w:rPr/>
      </w:pPr>
      <w:bookmarkStart w:id="52" w:name="__RefHeading___Toc32413_3142906823"/>
      <w:bookmarkStart w:id="53" w:name="_Toc23149716"/>
      <w:bookmarkEnd w:id="52"/>
      <w:r>
        <w:rPr/>
        <w:t>Техническая архитектура</w:t>
      </w:r>
      <w:bookmarkEnd w:id="53"/>
    </w:p>
    <w:p>
      <w:pPr>
        <w:pStyle w:val="Heading3"/>
        <w:widowControl/>
        <w:suppressAutoHyphens w:val="true"/>
        <w:bidi w:val="0"/>
        <w:ind w:hanging="0" w:left="0"/>
        <w:rPr>
          <w:rFonts w:ascii="Times New Roman" w:hAnsi="Times New Roman" w:eastAsia="Times New Roman"/>
          <w:color w:val="auto"/>
          <w:kern w:val="0"/>
          <w:sz w:val="24"/>
          <w:szCs w:val="24"/>
          <w:lang w:val="ru-RU" w:eastAsia="en-US" w:bidi="ar-SA"/>
        </w:rPr>
      </w:pPr>
      <w:bookmarkStart w:id="54" w:name="__RefHeading___Toc32415_3142906823"/>
      <w:bookmarkEnd w:id="54"/>
      <w:r>
        <w:rPr>
          <w:rFonts w:eastAsia="Times New Roman"/>
          <w:color w:val="auto"/>
          <w:kern w:val="0"/>
          <w:sz w:val="24"/>
          <w:szCs w:val="24"/>
          <w:lang w:val="ru-RU" w:eastAsia="en-US" w:bidi="ar-SA"/>
        </w:rPr>
        <w:t>U+0020w12</w:t>
      </w:r>
      <w:r>
        <w:rPr>
          <w:rFonts w:eastAsia="Times New Roman"/>
          <w:color w:val="auto"/>
          <w:kern w:val="0"/>
          <w:sz w:val="24"/>
          <w:szCs w:val="24"/>
          <w:lang w:val="ru-RU" w:eastAsia="en-US" w:bidi="ar-SA"/>
        </w:rPr>
        <w:t>Структура построения Системы</w:t>
      </w:r>
    </w:p>
    <w:p>
      <w:pPr>
        <w:pStyle w:val="Normal"/>
        <w:widowControl/>
        <w:suppressAutoHyphens w:val="true"/>
        <w:bidi w:val="0"/>
        <w:spacing w:lineRule="auto" w:line="36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ascii="Times New Roman" w:hAnsi="Times New Roman"/>
          <w:color w:val="auto"/>
          <w:kern w:val="0"/>
          <w:sz w:val="24"/>
          <w:szCs w:val="24"/>
          <w:lang w:val="ru-RU" w:eastAsia="en-US" w:bidi="ar-SA"/>
        </w:rPr>
        <w:tab/>
      </w:r>
      <w:r>
        <w:rPr>
          <w:rFonts w:ascii="Times New Roman" w:hAnsi="Times New Roman"/>
          <w:sz w:val="24"/>
          <w:szCs w:val="24"/>
        </w:rPr>
        <w:t>В состав ИТ-инфраструктуры телевизионного канала входят следующие ключевые подсистемы: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медиасерверов (ПМС)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виртуализации производственных ресурсов (ПВПР)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хранения медиаконтента (ПХМ)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сетевого хранения данных (СХД)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трансляции и распределения контента (ПТРК)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балансировки медианагрузки (ПБМН)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подсистема виртуализации телекоммуникаций (ПВТ)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Концептуальная схема ИТ-инфраструктуры представлена на Рис. 1.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Система организована в виде изолированных производственных контуров: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Разработческий контур - для тестирования новых технологий и форматов вещания с ограниченным SLA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Основной производственный контур - для штатного вещания без требований по аттестации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Защищенный контур К3 - для вещания с повышенными требованиями безопасности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Критический контур К2 - для особо важных эфирных процессов с максимальным уровнем защиты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Схема взаимодействия контуров и распределения подсистем по контурам представлена на Рис. 2.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Инфраструктура телеканала реализована как автономный комплекс, обеспечивающий полный цикл производства и трансляции контента. Взаимодействие подсистем осуществляется через специализированные сети передачи медиаданных (MCR, NDI, SDI) и базовые сервисные системы (AD, KMS, PTP, DRM).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Оборудование системы размещается в аппаратно-студийном комплексе (АСК) и использует существующую инженерную инфраструктуру телецентра (стойки вещательного оборудования, системы бесперебойного питания, климат-контроль и др.).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Для построения системы используется специализированное вещательное и ИТ-оборудование, перечень которого приведен в Приложении А.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Особенности работы системы в различных режимах (штатное вещание, резервный эфир, аварийные ситуации) описаны в разделе 2.4.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Размещение оборудования в аппаратных стойках и схема расположения оборудования в производственных помещениях приведены в Приложении Б.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55" w:name="__RefHeading___Toc32417_3142906823"/>
      <w:bookmarkEnd w:id="55"/>
      <w:r>
        <w:rPr>
          <w:sz w:val="24"/>
          <w:szCs w:val="24"/>
          <w:shd w:fill="auto" w:val="clear"/>
        </w:rPr>
        <w:t>Подсистема медиасерверов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Подсистема медиасерверов (ПМС) является ключевым компонентом ИТ-инфраструктуры телеканала, обеспечивающим обработку, хранение и трансляцию видеоконтента в различных форматах вещания. В состав подсистемы входят высокопроизводительные серверные решения, специализированные для работы с видео потоками в реальном времени.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Основу подсистемы составляют:</w:t>
      </w:r>
    </w:p>
    <w:p>
      <w:pPr>
        <w:pStyle w:val="Normal"/>
        <w:widowControl/>
        <w:numPr>
          <w:ilvl w:val="0"/>
          <w:numId w:val="3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видеомонтажа и постпродакшна (NLE)</w:t>
      </w:r>
    </w:p>
    <w:p>
      <w:pPr>
        <w:pStyle w:val="Normal"/>
        <w:widowControl/>
        <w:numPr>
          <w:ilvl w:val="0"/>
          <w:numId w:val="3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плаayout для эфирного вещания</w:t>
      </w:r>
    </w:p>
    <w:p>
      <w:pPr>
        <w:pStyle w:val="Normal"/>
        <w:widowControl/>
        <w:numPr>
          <w:ilvl w:val="0"/>
          <w:numId w:val="3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трансляции IP-потоков (CDN-edge)</w:t>
      </w:r>
    </w:p>
    <w:p>
      <w:pPr>
        <w:pStyle w:val="Normal"/>
        <w:widowControl/>
        <w:numPr>
          <w:ilvl w:val="0"/>
          <w:numId w:val="3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архивирования и управления медиаконтентом (MAM)</w:t>
      </w:r>
    </w:p>
    <w:p>
      <w:pPr>
        <w:pStyle w:val="Normal"/>
        <w:widowControl/>
        <w:numPr>
          <w:ilvl w:val="0"/>
          <w:numId w:val="3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обработки графики и титрования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Все серверные решения реализованы на базе отказоустойчивых кластерных конфигураций с горячим резервированием критических компонентов. Для обеспечения бесперебойного вещания применяется схема активный-активный для основных эфирных серверов и активный-резервный для вспомогательных систем.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Серверное оборудование подсистемы размещается в основных и резервных аппаратных студиях телецентра, с распределением по производственным контурам:</w:t>
      </w:r>
    </w:p>
    <w:p>
      <w:pPr>
        <w:pStyle w:val="Normal"/>
        <w:widowControl/>
        <w:numPr>
          <w:ilvl w:val="0"/>
          <w:numId w:val="3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 критическом контуре К2 работают серверы эфирного вещания (AIR-кластер)</w:t>
      </w:r>
    </w:p>
    <w:p>
      <w:pPr>
        <w:pStyle w:val="Normal"/>
        <w:widowControl/>
        <w:numPr>
          <w:ilvl w:val="0"/>
          <w:numId w:val="3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 защищенном контуре К3 функционируют системы архивирования и резервного playout</w:t>
      </w:r>
    </w:p>
    <w:p>
      <w:pPr>
        <w:pStyle w:val="Normal"/>
        <w:widowControl/>
        <w:numPr>
          <w:ilvl w:val="0"/>
          <w:numId w:val="3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 основном контуре расположены серверы подготовки контента</w:t>
      </w:r>
    </w:p>
    <w:p>
      <w:pPr>
        <w:pStyle w:val="Normal"/>
        <w:widowControl/>
        <w:numPr>
          <w:ilvl w:val="0"/>
          <w:numId w:val="3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 разработческом контуре тестируются новые версии ПО и обновления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Подсистема интегрирована с ПХМ через высокоскоростные SAN-подключения 16/32 Gb FC, что обеспечивает необходимую пропускную способность для работы с несжатыми видео потоками. Управление подсистемой осуществляется через единую консоль администрирования, поддерживающую протоколы SNMP для мониторинга и автоматического оповещения.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Для обеспечения информационной безопасности все серверы подсистемы оснащены средствами криптографической защиты трафика (IPSec) и системой контроля целостности ПО. Доступ к управлению осуществляется через выделенные защищенные каналы с обязательной двухфакторной аутентификацией.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56" w:name="__RefHeading___Toc32419_3142906823"/>
      <w:bookmarkEnd w:id="56"/>
      <w:r>
        <w:rPr>
          <w:sz w:val="24"/>
          <w:szCs w:val="24"/>
          <w:shd w:fill="auto" w:val="clear"/>
        </w:rPr>
        <w:t>Подсистема виртуализации производственных ресурсов (ПВПР)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ПВПР представляет собой унифицированную платформу для консолидации и управления вычислительными мощностями, обеспечивающую работу критически важных производственных процессов телеканала. Подсистема построена на базе отказоустойчивого кластера виртуализации с географически распределенными узлами.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Ключевые компоненты подсистемы включают:</w:t>
      </w:r>
    </w:p>
    <w:p>
      <w:pPr>
        <w:pStyle w:val="Normal"/>
        <w:widowControl/>
        <w:numPr>
          <w:ilvl w:val="0"/>
          <w:numId w:val="3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кластер серверов виртуализации на базе промышленных стандартов (VMware vSphere)</w:t>
      </w:r>
    </w:p>
    <w:p>
      <w:pPr>
        <w:pStyle w:val="Normal"/>
        <w:widowControl/>
        <w:numPr>
          <w:ilvl w:val="0"/>
          <w:numId w:val="3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систему распределенного хранения (vSAN) с гарантированной задержкой менее 5 мс</w:t>
      </w:r>
    </w:p>
    <w:p>
      <w:pPr>
        <w:pStyle w:val="Normal"/>
        <w:widowControl/>
        <w:numPr>
          <w:ilvl w:val="0"/>
          <w:numId w:val="3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программно-определяемую сетевую инфраструктуру (NSX)</w:t>
      </w:r>
    </w:p>
    <w:p>
      <w:pPr>
        <w:pStyle w:val="Normal"/>
        <w:widowControl/>
        <w:numPr>
          <w:ilvl w:val="0"/>
          <w:numId w:val="3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платформу контейнеризации для микросервисов (Kubernetes)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Особенностью ПВПР является поддержка специализированных требований медиапроизводства:</w:t>
      </w:r>
    </w:p>
    <w:p>
      <w:pPr>
        <w:pStyle w:val="Normal"/>
        <w:widowControl/>
        <w:numPr>
          <w:ilvl w:val="0"/>
          <w:numId w:val="36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выделенные пулы ресурсов для обработки видео в реальном времени</w:t>
      </w:r>
    </w:p>
    <w:p>
      <w:pPr>
        <w:pStyle w:val="Normal"/>
        <w:widowControl/>
        <w:numPr>
          <w:ilvl w:val="0"/>
          <w:numId w:val="36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GPU-ускорение для задач рендеринга и обработки графики</w:t>
      </w:r>
    </w:p>
    <w:p>
      <w:pPr>
        <w:pStyle w:val="Normal"/>
        <w:widowControl/>
        <w:numPr>
          <w:ilvl w:val="0"/>
          <w:numId w:val="36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гарантированная полоса пропускания для потокового видео</w:t>
      </w:r>
    </w:p>
    <w:p>
      <w:pPr>
        <w:pStyle w:val="Normal"/>
        <w:widowControl/>
        <w:numPr>
          <w:ilvl w:val="0"/>
          <w:numId w:val="36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изолированные среды для различных производственных контуров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Подсистема обеспечивает: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>
          <w:rFonts w:ascii="Times New Roman" w:hAnsi="Times New Roman"/>
          <w:sz w:val="24"/>
          <w:szCs w:val="24"/>
          <w:shd w:fill="auto" w:val="clear"/>
        </w:rPr>
        <w:t>Динамическое распределение ресурсов между:</w:t>
      </w:r>
    </w:p>
    <w:p>
      <w:pPr>
        <w:pStyle w:val="Normal"/>
        <w:widowControl/>
        <w:numPr>
          <w:ilvl w:val="0"/>
          <w:numId w:val="2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эфирными сервисами (AIR-VM)</w:t>
      </w:r>
    </w:p>
    <w:p>
      <w:pPr>
        <w:pStyle w:val="Normal"/>
        <w:widowControl/>
        <w:numPr>
          <w:ilvl w:val="0"/>
          <w:numId w:val="2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системами монтажа (EDIT-VM)</w:t>
      </w:r>
    </w:p>
    <w:p>
      <w:pPr>
        <w:pStyle w:val="Normal"/>
        <w:widowControl/>
        <w:numPr>
          <w:ilvl w:val="0"/>
          <w:numId w:val="2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сервисами графики (GFX-VM</w:t>
      </w:r>
      <w:r>
        <w:rPr>
          <w:rFonts w:ascii="Times New Roman" w:hAnsi="Times New Roman"/>
          <w:sz w:val="24"/>
          <w:szCs w:val="24"/>
          <w:shd w:fill="auto" w:val="clear"/>
        </w:rPr>
        <w:t>)</w:t>
      </w:r>
    </w:p>
    <w:p>
      <w:pPr>
        <w:pStyle w:val="Normal"/>
        <w:widowControl/>
        <w:numPr>
          <w:ilvl w:val="0"/>
          <w:numId w:val="25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</w:t>
      </w:r>
      <w:r>
        <w:rPr>
          <w:rFonts w:ascii="Times New Roman" w:hAnsi="Times New Roman"/>
          <w:sz w:val="24"/>
          <w:szCs w:val="24"/>
          <w:shd w:fill="auto" w:val="clear"/>
        </w:rPr>
        <w:t>служебными приложениями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>
          <w:rFonts w:ascii="Times New Roman" w:hAnsi="Times New Roman"/>
          <w:sz w:val="24"/>
          <w:szCs w:val="24"/>
          <w:shd w:fill="auto" w:val="clear"/>
        </w:rPr>
        <w:t>Автоматическое масштабирование в пиковых нагрузках:</w:t>
      </w:r>
    </w:p>
    <w:p>
      <w:pPr>
        <w:pStyle w:val="Normal"/>
        <w:widowControl/>
        <w:numPr>
          <w:ilvl w:val="0"/>
          <w:numId w:val="2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</w:t>
      </w:r>
      <w:r>
        <w:rPr>
          <w:rFonts w:ascii="Times New Roman" w:hAnsi="Times New Roman"/>
          <w:sz w:val="24"/>
          <w:szCs w:val="24"/>
          <w:shd w:fill="auto" w:val="clear"/>
        </w:rPr>
        <w:t>при подготовке спецпроектов</w:t>
      </w:r>
    </w:p>
    <w:p>
      <w:pPr>
        <w:pStyle w:val="Normal"/>
        <w:widowControl/>
        <w:numPr>
          <w:ilvl w:val="0"/>
          <w:numId w:val="2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во время крупных трансляций</w:t>
      </w:r>
    </w:p>
    <w:p>
      <w:pPr>
        <w:pStyle w:val="Normal"/>
        <w:widowControl/>
        <w:numPr>
          <w:ilvl w:val="0"/>
          <w:numId w:val="24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при аварийных ситуациях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>
          <w:rFonts w:ascii="Times New Roman" w:hAnsi="Times New Roman"/>
          <w:sz w:val="24"/>
          <w:szCs w:val="24"/>
          <w:shd w:fill="auto" w:val="clear"/>
        </w:rPr>
        <w:t>Интеграцию с медиаинфраструктурой:</w:t>
      </w:r>
    </w:p>
    <w:p>
      <w:pPr>
        <w:pStyle w:val="Normal"/>
        <w:widowControl/>
        <w:numPr>
          <w:ilvl w:val="0"/>
          <w:numId w:val="2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</w:t>
      </w:r>
      <w:r>
        <w:rPr>
          <w:rFonts w:ascii="Times New Roman" w:hAnsi="Times New Roman"/>
          <w:sz w:val="24"/>
          <w:szCs w:val="24"/>
          <w:shd w:fill="auto" w:val="clear"/>
        </w:rPr>
        <w:t>прямое подключение к SAN-сети</w:t>
      </w:r>
    </w:p>
    <w:p>
      <w:pPr>
        <w:pStyle w:val="Normal"/>
        <w:widowControl/>
        <w:numPr>
          <w:ilvl w:val="0"/>
          <w:numId w:val="2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поддержку профессиональных видеоинтерфейсов</w:t>
      </w:r>
    </w:p>
    <w:p>
      <w:pPr>
        <w:pStyle w:val="Normal"/>
        <w:widowControl/>
        <w:numPr>
          <w:ilvl w:val="0"/>
          <w:numId w:val="23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синхронизацию с эфирным временем (PTP)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363" w:left="0" w:right="0"/>
        <w:jc w:val="both"/>
        <w:rPr/>
      </w:pPr>
      <w:r>
        <w:rPr>
          <w:rFonts w:ascii="Times New Roman" w:hAnsi="Times New Roman"/>
          <w:sz w:val="24"/>
          <w:szCs w:val="24"/>
          <w:shd w:fill="auto" w:val="clear"/>
        </w:rPr>
        <w:tab/>
        <w:tab/>
        <w:t>Безопасность обеспечивается:</w:t>
      </w:r>
    </w:p>
    <w:p>
      <w:pPr>
        <w:pStyle w:val="Normal"/>
        <w:widowControl/>
        <w:numPr>
          <w:ilvl w:val="0"/>
          <w:numId w:val="2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сегментацией на уровне гипервизора</w:t>
      </w:r>
    </w:p>
    <w:p>
      <w:pPr>
        <w:pStyle w:val="Normal"/>
        <w:widowControl/>
        <w:numPr>
          <w:ilvl w:val="0"/>
          <w:numId w:val="2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криптографией виртуальных машин</w:t>
      </w:r>
    </w:p>
    <w:p>
      <w:pPr>
        <w:pStyle w:val="Normal"/>
        <w:widowControl/>
        <w:numPr>
          <w:ilvl w:val="0"/>
          <w:numId w:val="2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системой мониторинга целостности</w:t>
      </w:r>
    </w:p>
    <w:p>
      <w:pPr>
        <w:pStyle w:val="Normal"/>
        <w:widowControl/>
        <w:numPr>
          <w:ilvl w:val="0"/>
          <w:numId w:val="2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репликацией в DR-центр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Управление осуществляется через централизованную панель с интеграцией в общую систему мониторинга телеканала. Подсистема поддерживает автоматическое восстановление после сбоев с SLA 99,99% для критичных сервисов.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57" w:name="__RefHeading___Toc32421_3142906823"/>
      <w:bookmarkEnd w:id="57"/>
      <w:r>
        <w:rPr>
          <w:sz w:val="24"/>
          <w:szCs w:val="24"/>
          <w:shd w:fill="auto" w:val="clear"/>
        </w:rPr>
        <w:t>Подсистема хранения медиаконтента (ПХМ)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ПХМ представляет собой многоуровневую систему хранения и управления медиаактивами телеканала, обеспечивающую надежное хранение и оперативный доступ ко всему видеоконтенту. Подсистема построена по принципу гибридного хранилища с интеллектуальным распределением данных по уровням в зависимости от частоты использования и критичности.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Основные компоненты ПХМ включают:</w:t>
      </w:r>
    </w:p>
    <w:p>
      <w:pPr>
        <w:pStyle w:val="Normal"/>
        <w:widowControl/>
        <w:numPr>
          <w:ilvl w:val="0"/>
          <w:numId w:val="37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высокопроизводительные SSD-массивы для онлайн-хранения текущего эфирного контента</w:t>
      </w:r>
    </w:p>
    <w:p>
      <w:pPr>
        <w:pStyle w:val="Normal"/>
        <w:widowControl/>
        <w:numPr>
          <w:ilvl w:val="0"/>
          <w:numId w:val="37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дисковые системы класса nearline для оперативного доступа к архивным материалам</w:t>
      </w:r>
    </w:p>
    <w:p>
      <w:pPr>
        <w:pStyle w:val="Normal"/>
        <w:widowControl/>
        <w:numPr>
          <w:ilvl w:val="0"/>
          <w:numId w:val="37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ленточные библиотеки LTO для долгосрочного архивирования</w:t>
      </w:r>
    </w:p>
    <w:p>
      <w:pPr>
        <w:pStyle w:val="Normal"/>
        <w:widowControl/>
        <w:numPr>
          <w:ilvl w:val="0"/>
          <w:numId w:val="37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систему управления медиаактивами (MAM) с интеграцией в производственные процессы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Архитектура подсистемы организована по трехуровневому принципу: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1. Первичное хранилище (Tier 0):</w:t>
      </w:r>
    </w:p>
    <w:p>
      <w:pPr>
        <w:pStyle w:val="Normal"/>
        <w:widowControl/>
        <w:numPr>
          <w:ilvl w:val="0"/>
          <w:numId w:val="31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Все-flash массивы 200+ TB</w:t>
      </w:r>
    </w:p>
    <w:p>
      <w:pPr>
        <w:pStyle w:val="Normal"/>
        <w:widowControl/>
        <w:numPr>
          <w:ilvl w:val="0"/>
          <w:numId w:val="31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Задержка доступа &lt;1 мс</w:t>
      </w:r>
    </w:p>
    <w:p>
      <w:pPr>
        <w:pStyle w:val="Normal"/>
        <w:widowControl/>
        <w:numPr>
          <w:ilvl w:val="0"/>
          <w:numId w:val="31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Поддержка одновременного доступа 50+ потоков 4K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2. Промежуточное хранилище (Tier 1):</w:t>
      </w:r>
    </w:p>
    <w:p>
      <w:pPr>
        <w:pStyle w:val="Normal"/>
        <w:widowControl/>
        <w:numPr>
          <w:ilvl w:val="0"/>
          <w:numId w:val="30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Гибридные системы 2+ PB</w:t>
      </w:r>
    </w:p>
    <w:p>
      <w:pPr>
        <w:pStyle w:val="Normal"/>
        <w:widowControl/>
        <w:numPr>
          <w:ilvl w:val="0"/>
          <w:numId w:val="30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Автоматическая миграция контента</w:t>
      </w:r>
    </w:p>
    <w:p>
      <w:pPr>
        <w:pStyle w:val="Normal"/>
        <w:widowControl/>
        <w:numPr>
          <w:ilvl w:val="0"/>
          <w:numId w:val="30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</w:t>
      </w:r>
      <w:r>
        <w:rPr>
          <w:rFonts w:ascii="Times New Roman" w:hAnsi="Times New Roman"/>
          <w:sz w:val="24"/>
          <w:szCs w:val="24"/>
          <w:shd w:fill="auto" w:val="clear"/>
        </w:rPr>
        <w:t>Поддержка форматов XAVC, DNxHD, ProRes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3. Архивное хранилище (Tier 2):</w:t>
      </w:r>
    </w:p>
    <w:p>
      <w:pPr>
        <w:pStyle w:val="Normal"/>
        <w:widowControl/>
        <w:numPr>
          <w:ilvl w:val="0"/>
          <w:numId w:val="29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 </w:t>
      </w:r>
      <w:r>
        <w:rPr>
          <w:rFonts w:ascii="Times New Roman" w:hAnsi="Times New Roman"/>
          <w:sz w:val="24"/>
          <w:szCs w:val="24"/>
          <w:shd w:fill="auto" w:val="clear"/>
        </w:rPr>
        <w:t>Роботизированные ленточные библиотеки 10+ PB</w:t>
      </w:r>
    </w:p>
    <w:p>
      <w:pPr>
        <w:pStyle w:val="Normal"/>
        <w:widowControl/>
        <w:numPr>
          <w:ilvl w:val="0"/>
          <w:numId w:val="29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 </w:t>
      </w:r>
      <w:r>
        <w:rPr>
          <w:rFonts w:ascii="Times New Roman" w:hAnsi="Times New Roman"/>
          <w:sz w:val="24"/>
          <w:szCs w:val="24"/>
          <w:shd w:fill="auto" w:val="clear"/>
        </w:rPr>
        <w:t>Холодное хранение с возможностью восстановления за 15 мин</w:t>
      </w:r>
    </w:p>
    <w:p>
      <w:pPr>
        <w:pStyle w:val="Normal"/>
        <w:widowControl/>
        <w:numPr>
          <w:ilvl w:val="0"/>
          <w:numId w:val="29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   </w:t>
      </w:r>
      <w:r>
        <w:rPr>
          <w:rFonts w:ascii="Times New Roman" w:hAnsi="Times New Roman"/>
          <w:sz w:val="24"/>
          <w:szCs w:val="24"/>
          <w:shd w:fill="auto" w:val="clear"/>
        </w:rPr>
        <w:t>Встроенная система проверки целостности данных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Ключевые особенности ПХМ:</w:t>
      </w:r>
    </w:p>
    <w:p>
      <w:pPr>
        <w:pStyle w:val="Normal"/>
        <w:widowControl/>
        <w:numPr>
          <w:ilvl w:val="0"/>
          <w:numId w:val="27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Поддержка всех профессиональных видеоформатов от HD до 8K</w:t>
      </w:r>
    </w:p>
    <w:p>
      <w:pPr>
        <w:pStyle w:val="Normal"/>
        <w:widowControl/>
        <w:numPr>
          <w:ilvl w:val="0"/>
          <w:numId w:val="27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Встроенные механизмы транскодирования "на лету"</w:t>
      </w:r>
    </w:p>
    <w:p>
      <w:pPr>
        <w:pStyle w:val="Normal"/>
        <w:widowControl/>
        <w:numPr>
          <w:ilvl w:val="0"/>
          <w:numId w:val="27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Интеграция с облачными платформами для гибридного хранения</w:t>
      </w:r>
    </w:p>
    <w:p>
      <w:pPr>
        <w:pStyle w:val="Normal"/>
        <w:widowControl/>
        <w:numPr>
          <w:ilvl w:val="0"/>
          <w:numId w:val="27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Система автоматического контроля битовой целостности файлов</w:t>
      </w:r>
    </w:p>
    <w:p>
      <w:pPr>
        <w:pStyle w:val="Normal"/>
        <w:widowControl/>
        <w:numPr>
          <w:ilvl w:val="0"/>
          <w:numId w:val="27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Многоуровневая система кэширования для ускорения доступа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Безопасность данных обеспечивается:</w:t>
      </w:r>
    </w:p>
    <w:p>
      <w:pPr>
        <w:pStyle w:val="Normal"/>
        <w:widowControl/>
        <w:numPr>
          <w:ilvl w:val="0"/>
          <w:numId w:val="28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Сквозным шифрованием AES-256</w:t>
      </w:r>
    </w:p>
    <w:p>
      <w:pPr>
        <w:pStyle w:val="Normal"/>
        <w:widowControl/>
        <w:numPr>
          <w:ilvl w:val="0"/>
          <w:numId w:val="28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Географически распределенной репликацией</w:t>
      </w:r>
    </w:p>
    <w:p>
      <w:pPr>
        <w:pStyle w:val="Normal"/>
        <w:widowControl/>
        <w:numPr>
          <w:ilvl w:val="0"/>
          <w:numId w:val="28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Системой версионного контроля</w:t>
      </w:r>
    </w:p>
    <w:p>
      <w:pPr>
        <w:pStyle w:val="Normal"/>
        <w:widowControl/>
        <w:numPr>
          <w:ilvl w:val="0"/>
          <w:numId w:val="28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Защитой от ransomware-атак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Производительность подсистемы:</w:t>
      </w:r>
    </w:p>
    <w:p>
      <w:pPr>
        <w:pStyle w:val="Normal"/>
        <w:widowControl/>
        <w:numPr>
          <w:ilvl w:val="0"/>
          <w:numId w:val="32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Пропускная способность: 40 Гбит/с</w:t>
      </w:r>
    </w:p>
    <w:p>
      <w:pPr>
        <w:pStyle w:val="Normal"/>
        <w:widowControl/>
        <w:numPr>
          <w:ilvl w:val="0"/>
          <w:numId w:val="32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Поддержка до 500 параллельных сессий монтажа</w:t>
      </w:r>
    </w:p>
    <w:p>
      <w:pPr>
        <w:pStyle w:val="Normal"/>
        <w:widowControl/>
        <w:numPr>
          <w:ilvl w:val="0"/>
          <w:numId w:val="32"/>
        </w:numPr>
        <w:suppressAutoHyphens w:val="true"/>
        <w:bidi w:val="0"/>
        <w:spacing w:lineRule="auto" w:line="360" w:before="0" w:after="0"/>
        <w:ind w:hanging="0" w:left="1134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Время доступа к любому фрагменту архива &lt;30 сек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Управление осуществляется через единый web-интерфейс с интеграцией в автоматизированную систему вещания. Подсистема поддерживает все стандартные протоколы медиадоступа (SMB, NFS, FTP, API) и специализированные интерфейсы для профессионального оборудования.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58" w:name="__RefHeading___Toc32423_3142906823"/>
      <w:bookmarkEnd w:id="58"/>
      <w:r>
        <w:rPr>
          <w:sz w:val="24"/>
          <w:szCs w:val="24"/>
          <w:shd w:fill="auto" w:val="clear"/>
        </w:rPr>
        <w:t>Подсистема сетевого хранения данных (СХД)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shd w:fill="FFFF00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</w:r>
      <w:r>
        <w:rPr>
          <w:rFonts w:ascii="Times New Roman" w:hAnsi="Times New Roman"/>
          <w:sz w:val="24"/>
          <w:szCs w:val="24"/>
          <w:shd w:fill="auto" w:val="clear"/>
        </w:rPr>
        <w:t>Подсистема обеспечивает централизованное хранение и управление данными производственных систем телеканала. Реализована на базе кластерной архитектуры с дублированием критических компонентов.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Основные характеристики включают:</w:t>
      </w:r>
    </w:p>
    <w:p>
      <w:pPr>
        <w:pStyle w:val="Normal"/>
        <w:widowControl/>
        <w:numPr>
          <w:ilvl w:val="0"/>
          <w:numId w:val="39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Общую емкость 5 PB с поддержкой многоуровневого хранения</w:t>
      </w:r>
    </w:p>
    <w:p>
      <w:pPr>
        <w:pStyle w:val="Normal"/>
        <w:widowControl/>
        <w:numPr>
          <w:ilvl w:val="0"/>
          <w:numId w:val="39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Использование протоколов FC 32Gb и iSCSI для различных классов нагрузки</w:t>
      </w:r>
    </w:p>
    <w:p>
      <w:pPr>
        <w:pStyle w:val="Normal"/>
        <w:widowControl/>
        <w:numPr>
          <w:ilvl w:val="0"/>
          <w:numId w:val="39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Гарантированную доступность на уровне 99.99%</w:t>
      </w:r>
    </w:p>
    <w:p>
      <w:pPr>
        <w:pStyle w:val="Normal"/>
        <w:widowControl/>
        <w:numPr>
          <w:ilvl w:val="0"/>
          <w:numId w:val="39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Интеграцию с системами виртуализации и медиаобработки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Подсистема обеспечивает:</w:t>
      </w:r>
    </w:p>
    <w:p>
      <w:pPr>
        <w:pStyle w:val="Normal"/>
        <w:widowControl/>
        <w:numPr>
          <w:ilvl w:val="0"/>
          <w:numId w:val="38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Автоматическую репликацию между основным и резервным ЦОД</w:t>
      </w:r>
    </w:p>
    <w:p>
      <w:pPr>
        <w:pStyle w:val="Normal"/>
        <w:widowControl/>
        <w:numPr>
          <w:ilvl w:val="0"/>
          <w:numId w:val="38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Динамическое распределение ресурсов хранения</w:t>
      </w:r>
    </w:p>
    <w:p>
      <w:pPr>
        <w:pStyle w:val="Normal"/>
        <w:widowControl/>
        <w:numPr>
          <w:ilvl w:val="0"/>
          <w:numId w:val="38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Защиту данных с использованием механизмов шифрования и контроля целостности</w:t>
      </w:r>
    </w:p>
    <w:p>
      <w:pPr>
        <w:pStyle w:val="Normal"/>
        <w:widowControl/>
        <w:numPr>
          <w:ilvl w:val="0"/>
          <w:numId w:val="38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Централизованное управление через единую консоль администрирования</w:t>
      </w:r>
    </w:p>
    <w:p>
      <w:pPr>
        <w:pStyle w:val="Normal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Производительность системы рассчитана на одновременную работу с 200+ видеопотоками в формате 4K. Реализована поддержка мгновенных снапшотов и быстрого восстановления данных.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59" w:name="__RefHeading___Toc32425_3142906823"/>
      <w:bookmarkEnd w:id="59"/>
      <w:r>
        <w:rPr>
          <w:sz w:val="24"/>
          <w:szCs w:val="24"/>
          <w:shd w:fill="auto" w:val="clear"/>
        </w:rPr>
        <w:t>Подсистема трансляции и распределения контента (ПТРК)</w:t>
      </w:r>
    </w:p>
    <w:p>
      <w:pPr>
        <w:pStyle w:val="BodyText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Обеспечивает доставку медиаконтента на все платформы вещания телеканала. Включает: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Серверы потокового вещания (HLS, DASH)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Системы IP-распределения (CDN-узлы)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Оборудование спутниковой и кабельной трансляции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Модули адаптивного битрейта</w:t>
      </w:r>
    </w:p>
    <w:p>
      <w:pPr>
        <w:pStyle w:val="Heading3"/>
        <w:ind w:hanging="0" w:left="0"/>
        <w:rPr>
          <w:sz w:val="24"/>
          <w:szCs w:val="24"/>
          <w:highlight w:val="none"/>
          <w:shd w:fill="auto" w:val="clear"/>
        </w:rPr>
      </w:pPr>
      <w:bookmarkStart w:id="60" w:name="__RefHeading___Toc32427_3142906823"/>
      <w:bookmarkEnd w:id="60"/>
      <w:r>
        <w:rPr>
          <w:sz w:val="24"/>
          <w:szCs w:val="24"/>
          <w:shd w:fill="auto" w:val="clear"/>
        </w:rPr>
        <w:t>Подсистема балансировки медианагрузки (ПБМН)</w:t>
      </w:r>
    </w:p>
    <w:p>
      <w:pPr>
        <w:pStyle w:val="BodyText"/>
        <w:spacing w:lineRule="auto" w:line="360"/>
        <w:ind w:hanging="0" w:lef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ab/>
        <w:t>Реализует: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Распределение нагрузки между серверами трансляции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Автоматическое масштабирование ресурсов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Мониторинг QoS для каждого канала доставки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Защиту от перегрузок в пиковые часы</w:t>
      </w:r>
    </w:p>
    <w:p>
      <w:pPr>
        <w:pStyle w:val="Heading3"/>
        <w:ind w:hanging="0" w:left="0"/>
        <w:rPr>
          <w:highlight w:val="none"/>
          <w:shd w:fill="auto" w:val="clear"/>
        </w:rPr>
      </w:pPr>
      <w:bookmarkStart w:id="61" w:name="__RefHeading___Toc32429_3142906823"/>
      <w:bookmarkEnd w:id="61"/>
      <w:r>
        <w:rPr>
          <w:sz w:val="24"/>
          <w:szCs w:val="24"/>
          <w:shd w:fill="auto" w:val="clear"/>
        </w:rPr>
        <w:t>Подсистема виртуализации телекоммуникаций (ПВТ)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120"/>
        <w:ind w:hanging="0" w:left="85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bookmarkStart w:id="62" w:name="__RefHeading___Toc23329_3475925682"/>
      <w:bookmarkEnd w:id="62"/>
      <w:r>
        <w:rPr>
          <w:rFonts w:ascii="Times New Roman" w:hAnsi="Times New Roman"/>
          <w:sz w:val="24"/>
          <w:szCs w:val="24"/>
          <w:shd w:fill="auto" w:val="clear"/>
        </w:rPr>
        <w:t>Обеспечивает: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Виртуализацию сетевых функций (NFV)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Программно-конфигурируемые медиасети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Динамическое управление QoS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</w:tabs>
        <w:spacing w:lineRule="auto" w:line="360"/>
        <w:ind w:firstLine="257" w:left="709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Изолированные виртуальные сети для разных сервисов</w:t>
      </w:r>
    </w:p>
    <w:p>
      <w:pPr>
        <w:pStyle w:val="Heading2"/>
        <w:numPr>
          <w:ilvl w:val="1"/>
          <w:numId w:val="1"/>
        </w:numPr>
        <w:rPr>
          <w:highlight w:val="none"/>
          <w:shd w:fill="FFFF00" w:val="clear"/>
        </w:rPr>
      </w:pPr>
      <w:bookmarkStart w:id="63" w:name="__RefHeading___Toc32437_3142906823"/>
      <w:bookmarkStart w:id="64" w:name="_Toc23149728"/>
      <w:bookmarkEnd w:id="63"/>
      <w:r>
        <w:rPr/>
        <w:t>Взаимодействие со смежными системами</w:t>
      </w:r>
      <w:bookmarkEnd w:id="64"/>
    </w:p>
    <w:p>
      <w:pPr>
        <w:pStyle w:val="Style29"/>
        <w:widowControl/>
        <w:numPr>
          <w:ilvl w:val="0"/>
          <w:numId w:val="0"/>
        </w:numPr>
        <w:suppressAutoHyphens w:val="true"/>
        <w:bidi w:val="0"/>
        <w:spacing w:before="60" w:after="60"/>
        <w:ind w:hanging="0" w:left="0" w:right="0"/>
        <w:jc w:val="both"/>
        <w:rPr/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ab/>
        <w:t>Внедряемые компоненты ИТ-инфраструктуры телеканала ин</w:t>
      </w: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тегрированы с существующими производственными системами и образуют единый медиакомплекс:</w:t>
      </w:r>
    </w:p>
    <w:p>
      <w:pPr>
        <w:pStyle w:val="Normal"/>
        <w:numPr>
          <w:ilvl w:val="0"/>
          <w:numId w:val="65"/>
        </w:numPr>
        <w:jc w:val="both"/>
        <w:rPr/>
      </w:pPr>
      <w:r>
        <w:rPr/>
        <w:t>Платформа виртуализации: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ru-RU" w:eastAsia="ru-RU" w:bidi="ar-SA"/>
        </w:rPr>
        <w:t>Серверы vCenter ПВПР интегрированы в единый домен управления основного телецентра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ru-RU" w:eastAsia="ru-RU" w:bidi="ar-SA"/>
        </w:rPr>
        <w:t>Системы мониторинга (vROps) передают данные в центральную систему управления медиапроизводством</w:t>
      </w:r>
    </w:p>
    <w:p>
      <w:pPr>
        <w:pStyle w:val="Normal"/>
        <w:numPr>
          <w:ilvl w:val="0"/>
          <w:numId w:val="26"/>
        </w:numPr>
        <w:jc w:val="both"/>
        <w:rPr/>
      </w:pPr>
      <w:r>
        <w:rPr/>
        <w:t>Сетевая инфраструктура: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Производственные сети (MCR, NDI) объединены с системами региональных студий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SAN-сети обеспечивают доступ к единому медиаархиву из всех производственных площадок</w:t>
      </w:r>
    </w:p>
    <w:p>
      <w:pPr>
        <w:pStyle w:val="Normal"/>
        <w:numPr>
          <w:ilvl w:val="0"/>
          <w:numId w:val="26"/>
        </w:numPr>
        <w:rPr/>
      </w:pPr>
      <w:r>
        <w:rPr/>
        <w:t>Служебные сервисы: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Доменные службы AD расширяют существующую инфраструктуру телехолдинга</w:t>
      </w:r>
    </w:p>
    <w:p>
      <w:pPr>
        <w:pStyle w:val="Style29"/>
        <w:numPr>
          <w:ilvl w:val="0"/>
          <w:numId w:val="45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DNS-сервисы интегрированы с корпоративной DNS-зоной</w:t>
      </w:r>
    </w:p>
    <w:p>
      <w:pPr>
        <w:pStyle w:val="Normal"/>
        <w:numPr>
          <w:ilvl w:val="0"/>
          <w:numId w:val="26"/>
        </w:numPr>
        <w:jc w:val="both"/>
        <w:rPr/>
      </w:pPr>
      <w:r>
        <w:rPr/>
        <w:t>Системы хранения:</w:t>
      </w:r>
    </w:p>
    <w:p>
      <w:pPr>
        <w:pStyle w:val="Style29"/>
        <w:numPr>
          <w:ilvl w:val="0"/>
          <w:numId w:val="44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Кластерные системы хранения (Huawei OceanStor) обеспечивают синхронизацию между основным и резервным медиацентрами</w:t>
      </w:r>
    </w:p>
    <w:p>
      <w:pPr>
        <w:pStyle w:val="Style29"/>
        <w:numPr>
          <w:ilvl w:val="0"/>
          <w:numId w:val="44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Реализована репликация критичного контента в режиме реального времени</w:t>
      </w:r>
    </w:p>
    <w:p>
      <w:pPr>
        <w:pStyle w:val="Normal"/>
        <w:numPr>
          <w:ilvl w:val="0"/>
          <w:numId w:val="26"/>
        </w:numPr>
        <w:rPr/>
      </w:pPr>
      <w:r>
        <w:rPr/>
        <w:t>Общие сервисы:</w:t>
      </w:r>
    </w:p>
    <w:p>
      <w:pPr>
        <w:pStyle w:val="Style29"/>
        <w:numPr>
          <w:ilvl w:val="0"/>
          <w:numId w:val="43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Единая система мониторинга охватывает все производственные площадки</w:t>
      </w:r>
    </w:p>
    <w:p>
      <w:pPr>
        <w:pStyle w:val="Style29"/>
        <w:numPr>
          <w:ilvl w:val="0"/>
          <w:numId w:val="43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Централизованное решение резервного копирования обслуживает весь медиакомплекс</w:t>
      </w:r>
    </w:p>
    <w:p>
      <w:pPr>
        <w:pStyle w:val="Style29"/>
        <w:numPr>
          <w:ilvl w:val="0"/>
          <w:numId w:val="43"/>
        </w:numPr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highlight w:val="none"/>
          <w:shd w:fill="auto" w:val="clear"/>
          <w:lang w:val="ru-RU" w:eastAsia="ru-RU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ar-SA"/>
        </w:rPr>
        <w:t>Общая система аутентификации для всех производственных систем</w:t>
      </w:r>
    </w:p>
    <w:p>
      <w:pPr>
        <w:pStyle w:val="Style29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ru-RU" w:eastAsia="ru-RU" w:bidi="ar-SA"/>
        </w:rPr>
        <w:tab/>
        <w:t>Интеграция реализована с соблюдением требований безопасности вещательных систем. Для критичных эфирных сервисов обеспечена изоляция трафика при сохранении управляемости из единого центра.</w:t>
      </w:r>
    </w:p>
    <w:p>
      <w:pPr>
        <w:pStyle w:val="Heading2"/>
        <w:numPr>
          <w:ilvl w:val="1"/>
          <w:numId w:val="1"/>
        </w:numPr>
        <w:rPr>
          <w:highlight w:val="none"/>
          <w:shd w:fill="FFFF00" w:val="clear"/>
        </w:rPr>
      </w:pPr>
      <w:bookmarkStart w:id="65" w:name="__RefHeading___Toc32439_3142906823"/>
      <w:bookmarkStart w:id="66" w:name="_Toc23149729"/>
      <w:bookmarkEnd w:id="65"/>
      <w:r>
        <w:rPr/>
        <w:t>Технические средства</w:t>
      </w:r>
      <w:bookmarkEnd w:id="66"/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67" w:name="__RefHeading___Toc32441_3142906823"/>
      <w:bookmarkStart w:id="68" w:name="_Toc23149730"/>
      <w:bookmarkEnd w:id="67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Аппаратное обеспечение</w:t>
      </w:r>
      <w:bookmarkEnd w:id="68"/>
    </w:p>
    <w:p>
      <w:pPr>
        <w:pStyle w:val="Style29"/>
        <w:rPr>
          <w:highlight w:val="none"/>
          <w:shd w:fill="FFFF00" w:val="clear"/>
        </w:rPr>
      </w:pPr>
      <w:r>
        <w:rPr>
          <w:shd w:fill="auto" w:val="clear"/>
        </w:rPr>
        <w:tab/>
      </w:r>
      <w:r>
        <w:rPr>
          <w:shd w:fill="auto" w:val="clear"/>
        </w:rPr>
        <w:t>Для построения ИТ-инфраструктуры телеканала используется следующее оборудование: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1. Серверные платформы: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Блейд-системы Dell PowerEdge MX для медиаобработки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Стоечные серверы HPE ProLiant для вещательных систем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GPU-серверы NVIDIA для обработки графики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2. Системы хранения: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Все-flash массивы NetApp AFF для онлайн-контента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Гибридные системы HPE 3PAR для архивного хранения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Ленточные библиотеки Quantum для долгосрочного архивирования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3. Сетевое оборудование: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Коммутаторы Cisco Nexus для ядра сети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Маршрутизаторы Juniper MX для внешних подключений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Балансировщики нагрузки F5 BIG-IP для распределения трафика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4. Специализированное оборудование: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Видеосерверы Imagine Communications для эфирного вещания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Кодирующее оборудование Harmonic для IP-трансляции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- Аппаратные энкодеры Elemental для OTT-платформ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69" w:name="__RefHeading___Toc32443_3142906823"/>
      <w:bookmarkStart w:id="70" w:name="_Toc23149731"/>
      <w:bookmarkEnd w:id="69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Программное обеспечение</w:t>
      </w:r>
      <w:bookmarkEnd w:id="70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Основное программное обеспечение включает:</w:t>
      </w:r>
    </w:p>
    <w:p>
      <w:pPr>
        <w:pStyle w:val="Normal"/>
        <w:numPr>
          <w:ilvl w:val="0"/>
          <w:numId w:val="66"/>
        </w:numPr>
        <w:spacing w:lineRule="auto" w:line="360"/>
        <w:jc w:val="both"/>
        <w:rPr/>
      </w:pPr>
      <w:r>
        <w:rPr/>
        <w:t>Платформы виртуализации:</w:t>
      </w:r>
    </w:p>
    <w:p>
      <w:pPr>
        <w:pStyle w:val="Style29"/>
        <w:numPr>
          <w:ilvl w:val="0"/>
          <w:numId w:val="46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VMware vSphere для инфраструктурных сервисов</w:t>
      </w:r>
    </w:p>
    <w:p>
      <w:pPr>
        <w:pStyle w:val="Style29"/>
        <w:numPr>
          <w:ilvl w:val="0"/>
          <w:numId w:val="46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Red Hat OpenShift для контейнерных приложений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/>
        <w:t>Медиаплатформы:</w:t>
      </w:r>
    </w:p>
    <w:p>
      <w:pPr>
        <w:pStyle w:val="Style29"/>
        <w:numPr>
          <w:ilvl w:val="0"/>
          <w:numId w:val="47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Система управления контентом Dalet</w:t>
      </w:r>
    </w:p>
    <w:p>
      <w:pPr>
        <w:pStyle w:val="Style29"/>
        <w:numPr>
          <w:ilvl w:val="0"/>
          <w:numId w:val="47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Платформа автоматизации вещания Pebble Beach</w:t>
      </w:r>
    </w:p>
    <w:p>
      <w:pPr>
        <w:pStyle w:val="Style29"/>
        <w:numPr>
          <w:ilvl w:val="0"/>
          <w:numId w:val="47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Решения для графики Vizrt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/>
        <w:t>Сетевые решения:</w:t>
      </w:r>
    </w:p>
    <w:p>
      <w:pPr>
        <w:pStyle w:val="Style29"/>
        <w:numPr>
          <w:ilvl w:val="0"/>
          <w:numId w:val="48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VMware NSX для SDN</w:t>
      </w:r>
    </w:p>
    <w:p>
      <w:pPr>
        <w:pStyle w:val="Style29"/>
        <w:numPr>
          <w:ilvl w:val="0"/>
          <w:numId w:val="48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Cisco ACI для программно-определяемых сетей</w:t>
      </w:r>
    </w:p>
    <w:p>
      <w:pPr>
        <w:pStyle w:val="Normal"/>
        <w:numPr>
          <w:ilvl w:val="0"/>
          <w:numId w:val="26"/>
        </w:numPr>
        <w:spacing w:lineRule="auto" w:line="360"/>
        <w:jc w:val="both"/>
        <w:rPr/>
      </w:pPr>
      <w:r>
        <w:rPr/>
        <w:t>Служебное ПО:</w:t>
      </w:r>
    </w:p>
    <w:p>
      <w:pPr>
        <w:pStyle w:val="Style29"/>
        <w:numPr>
          <w:ilvl w:val="0"/>
          <w:numId w:val="49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Veeam Backup для резервного копирования</w:t>
      </w:r>
    </w:p>
    <w:p>
      <w:pPr>
        <w:pStyle w:val="Style29"/>
        <w:numPr>
          <w:ilvl w:val="0"/>
          <w:numId w:val="49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Splunk для мониторинга и анализа</w:t>
      </w:r>
    </w:p>
    <w:p>
      <w:pPr>
        <w:pStyle w:val="Style29"/>
        <w:numPr>
          <w:ilvl w:val="0"/>
          <w:numId w:val="49"/>
        </w:numPr>
        <w:spacing w:lineRule="auto" w:line="360"/>
        <w:rPr>
          <w:highlight w:val="none"/>
          <w:shd w:fill="auto" w:val="clear"/>
        </w:rPr>
      </w:pPr>
      <w:r>
        <w:rPr>
          <w:shd w:fill="auto" w:val="clear"/>
        </w:rPr>
        <w:t>PTP-сервер Meinberg для синхронизации времени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Все решения поддерживают необходимые сертификации для телевещания и соответствуют отраслевым стандартам. При развертывании используются актуальные стабильные версии ПО с возможностью установки критических обновлений.</w:t>
      </w:r>
    </w:p>
    <w:p>
      <w:pPr>
        <w:pStyle w:val="Heading2"/>
        <w:numPr>
          <w:ilvl w:val="1"/>
          <w:numId w:val="1"/>
        </w:numPr>
        <w:rPr>
          <w:highlight w:val="none"/>
          <w:shd w:fill="FFFF00" w:val="clear"/>
        </w:rPr>
      </w:pPr>
      <w:bookmarkStart w:id="71" w:name="__RefHeading___Toc32445_3142906823"/>
      <w:bookmarkStart w:id="72" w:name="_Toc23149732"/>
      <w:bookmarkEnd w:id="71"/>
      <w:r>
        <w:rPr/>
        <w:t>Режимы функционирования</w:t>
      </w:r>
      <w:bookmarkEnd w:id="72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>Система функционирует в следующих режимах:</w:t>
      </w:r>
    </w:p>
    <w:p>
      <w:pPr>
        <w:pStyle w:val="Style29"/>
        <w:numPr>
          <w:ilvl w:val="0"/>
          <w:numId w:val="15"/>
        </w:numPr>
        <w:rPr>
          <w:highlight w:val="none"/>
          <w:shd w:fill="auto" w:val="clear"/>
        </w:rPr>
      </w:pPr>
      <w:r>
        <w:rPr>
          <w:shd w:fill="auto" w:val="clear"/>
        </w:rPr>
        <w:t>Штатный режим работы</w:t>
      </w:r>
      <w:r>
        <w:rPr>
          <w:shd w:fill="auto" w:val="clear"/>
          <w:lang w:val="en-US"/>
        </w:rPr>
        <w:t>;</w:t>
      </w:r>
    </w:p>
    <w:p>
      <w:pPr>
        <w:pStyle w:val="Style29"/>
        <w:numPr>
          <w:ilvl w:val="0"/>
          <w:numId w:val="15"/>
        </w:numPr>
        <w:rPr>
          <w:highlight w:val="none"/>
          <w:shd w:fill="auto" w:val="clear"/>
        </w:rPr>
      </w:pPr>
      <w:r>
        <w:rPr>
          <w:shd w:fill="auto" w:val="clear"/>
        </w:rPr>
        <w:t>Сервисный режим работы</w:t>
      </w:r>
      <w:r>
        <w:rPr>
          <w:shd w:fill="auto" w:val="clear"/>
          <w:lang w:val="en-US"/>
        </w:rPr>
        <w:t>;</w:t>
      </w:r>
    </w:p>
    <w:p>
      <w:pPr>
        <w:pStyle w:val="Style29"/>
        <w:numPr>
          <w:ilvl w:val="0"/>
          <w:numId w:val="15"/>
        </w:numPr>
        <w:rPr>
          <w:highlight w:val="none"/>
          <w:shd w:fill="auto" w:val="clear"/>
        </w:rPr>
      </w:pPr>
      <w:r>
        <w:rPr>
          <w:shd w:fill="auto" w:val="clear"/>
        </w:rPr>
        <w:t>Аварийный режим работы</w:t>
      </w:r>
      <w:r>
        <w:rPr>
          <w:shd w:fill="auto" w:val="clear"/>
          <w:lang w:val="en-US"/>
        </w:rPr>
        <w:t>.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73" w:name="__RefHeading___Toc32447_3142906823"/>
      <w:bookmarkStart w:id="74" w:name="_Toc23149733"/>
      <w:bookmarkEnd w:id="73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Штатный режим работы</w:t>
      </w:r>
      <w:bookmarkEnd w:id="74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Основным режимом функционирования Системы является штатный режим. В штатном режиме Система обеспечивает требуемую полноту и качество выполняемых функций и обеспечивает требуемые показатели производительности.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Технический персонал, ответственный за эксплуатацию Системы, осуществляет стандартные операции по мониторингу и администрированию.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75" w:name="__RefHeading___Toc32449_3142906823"/>
      <w:bookmarkStart w:id="76" w:name="_Toc23149734"/>
      <w:bookmarkEnd w:id="75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Сервисный режим работы</w:t>
      </w:r>
      <w:bookmarkEnd w:id="76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 xml:space="preserve">Сервисный режим работы предназначен для проведения плановых технических работ, включая обновление программного обеспечения, замену оборудования, профилактическое обслуживание и изменение конфигурации компонентов ИТ-инфраструктуры телеканала.  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 xml:space="preserve">Все сервисные работы должны быть заранее согласованы с техническими службами телеканала и запланированы с учетом эфирного графика. В случае выполнения работ на резервируемых компонентах системы полная остановка вещания не требуется.  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Для критически важных систем вещания сервисные работы выполняются только в технологические окна, утвержденные руководством телеканала. При проведении работ обеспечивается постоянный мониторинг состояния оборудования и готовность к экстренному восстановлению штатного режима работы.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77" w:name="__RefHeading___Toc32451_3142906823"/>
      <w:bookmarkStart w:id="78" w:name="_Toc23149735"/>
      <w:bookmarkEnd w:id="77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Аварийный режим работы</w:t>
      </w:r>
      <w:bookmarkEnd w:id="78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Под аварийным режимом работы понимается функционирование Системы в случае возникновения отказов, сбоев и аварий.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Перечень аварийных ситуаций, предусмотренная проектом реакция Системы и действия технического персонала указаны в документе «Регламент внештатного обслуживания».</w:t>
      </w:r>
    </w:p>
    <w:p>
      <w:pPr>
        <w:pStyle w:val="Heading2"/>
        <w:numPr>
          <w:ilvl w:val="1"/>
          <w:numId w:val="1"/>
        </w:numPr>
        <w:rPr>
          <w:highlight w:val="none"/>
          <w:shd w:fill="FFFF00" w:val="clear"/>
        </w:rPr>
      </w:pPr>
      <w:bookmarkStart w:id="79" w:name="__RefHeading___Toc32453_3142906823"/>
      <w:bookmarkStart w:id="80" w:name="_Toc23149736"/>
      <w:bookmarkEnd w:id="79"/>
      <w:r>
        <w:rPr/>
        <w:t>Состав функций, реализуемых Системой</w:t>
      </w:r>
      <w:bookmarkEnd w:id="80"/>
      <w:r>
        <w:rPr/>
        <w:t xml:space="preserve"> 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81" w:name="__RefHeading___Toc32455_3142906823"/>
      <w:bookmarkStart w:id="82" w:name="_Toc23149737"/>
      <w:bookmarkEnd w:id="81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Функции Системы в целом</w:t>
      </w:r>
      <w:bookmarkEnd w:id="82"/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  <w:tab/>
        <w:t>Система в целом обеспечивает размещение и работу тестовых и продуктивных ИС, а также высокодоступное подключение к ним пользователей.</w:t>
      </w:r>
    </w:p>
    <w:p>
      <w:pPr>
        <w:pStyle w:val="Heading3"/>
        <w:rPr>
          <w:rFonts w:ascii="Times New Roman" w:hAnsi="Times New Roman" w:eastAsia="Times New Roman" w:cs="Times New Roman"/>
          <w:b/>
          <w:bCs/>
          <w:i w:val="false"/>
          <w:i w:val="false"/>
          <w:iCs/>
          <w:color w:val="auto"/>
          <w:kern w:val="2"/>
          <w:sz w:val="28"/>
          <w:szCs w:val="26"/>
          <w:highlight w:val="none"/>
          <w:shd w:fill="auto" w:val="clear"/>
          <w:lang w:val="ru-RU" w:eastAsia="en-US" w:bidi="ar-SA"/>
        </w:rPr>
      </w:pPr>
      <w:bookmarkStart w:id="83" w:name="__RefHeading___Toc32457_3142906823"/>
      <w:bookmarkStart w:id="84" w:name="_Toc23149738"/>
      <w:bookmarkEnd w:id="83"/>
      <w:r>
        <w:rPr>
          <w:rFonts w:eastAsia="Times New Roman" w:cs="Times New Roman"/>
          <w:b/>
          <w:bCs/>
          <w:i w:val="false"/>
          <w:iCs/>
          <w:color w:val="000000"/>
          <w:kern w:val="2"/>
          <w:sz w:val="28"/>
          <w:szCs w:val="26"/>
          <w:shd w:fill="auto" w:val="clear"/>
          <w:lang w:val="ru-RU" w:eastAsia="en-US" w:bidi="ar-SA"/>
        </w:rPr>
        <w:t>Функции подсистем</w:t>
      </w:r>
      <w:bookmarkEnd w:id="84"/>
    </w:p>
    <w:p>
      <w:pPr>
        <w:pStyle w:val="42"/>
        <w:rPr>
          <w:highlight w:val="none"/>
          <w:shd w:fill="auto" w:val="clear"/>
        </w:rPr>
      </w:pPr>
      <w:bookmarkStart w:id="85" w:name="__RefHeading___Toc32459_3142906823"/>
      <w:bookmarkEnd w:id="85"/>
      <w:r>
        <w:rPr>
          <w:shd w:fill="auto" w:val="clear"/>
        </w:rPr>
        <w:t>Функции подсистемы серверов</w:t>
      </w:r>
    </w:p>
    <w:p>
      <w:pPr>
        <w:pStyle w:val="BodyText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Подсистема медиасерверов обеспечивает:</w:t>
      </w:r>
    </w:p>
    <w:p>
      <w:pPr>
        <w:pStyle w:val="BodyText"/>
        <w:numPr>
          <w:ilvl w:val="0"/>
          <w:numId w:val="5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обработку и трансляцию видеопотоков в реальном времени;</w:t>
      </w:r>
    </w:p>
    <w:p>
      <w:pPr>
        <w:pStyle w:val="BodyText"/>
        <w:numPr>
          <w:ilvl w:val="0"/>
          <w:numId w:val="5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работу систем видеомонтажа и графики;</w:t>
      </w:r>
    </w:p>
    <w:p>
      <w:pPr>
        <w:pStyle w:val="BodyText"/>
        <w:numPr>
          <w:ilvl w:val="0"/>
          <w:numId w:val="5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управление эфирными плейаутами;</w:t>
      </w:r>
    </w:p>
    <w:p>
      <w:pPr>
        <w:pStyle w:val="BodyText"/>
        <w:numPr>
          <w:ilvl w:val="0"/>
          <w:numId w:val="5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интеграцию с системами хранения медиаконтента.</w:t>
      </w:r>
    </w:p>
    <w:p>
      <w:pPr>
        <w:pStyle w:val="42"/>
        <w:keepNext w:val="true"/>
        <w:widowControl/>
        <w:suppressAutoHyphens w:val="true"/>
        <w:bidi w:val="0"/>
        <w:spacing w:lineRule="auto" w:line="360" w:before="240" w:after="60"/>
        <w:contextualSpacing/>
        <w:jc w:val="both"/>
        <w:rPr/>
      </w:pPr>
      <w:r>
        <w:rPr>
          <w:rStyle w:val="Strong"/>
          <w:b/>
          <w:shd w:fill="auto" w:val="clear"/>
        </w:rPr>
        <w:t>Функции подсистемы виртуализации производственных ресурсов(ПВПР)</w:t>
      </w:r>
    </w:p>
    <w:p>
      <w:pPr>
        <w:pStyle w:val="Style30"/>
        <w:ind w:hanging="0"/>
        <w:rPr/>
      </w:pPr>
      <w:r>
        <w:rPr>
          <w:shd w:fill="auto" w:val="clear"/>
        </w:rPr>
        <w:tab/>
        <w:t>Подсистема виртуализации обеспечивае</w:t>
      </w:r>
      <w:r>
        <w:rPr/>
        <w:t>т: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создание и управление виртуальными средами для медиаобработки;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автоматическое распределение вычислительных ресурсов;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отказоустойчивость за счет кластерной архитектуры;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поддержку GPU-ускорения для задач рендеринга.</w:t>
      </w:r>
    </w:p>
    <w:p>
      <w:pPr>
        <w:pStyle w:val="42"/>
        <w:ind w:hanging="0" w:left="0"/>
        <w:rPr/>
      </w:pPr>
      <w:r>
        <w:rPr>
          <w:rStyle w:val="Strong"/>
          <w:b/>
          <w:shd w:fill="auto" w:val="clear"/>
        </w:rPr>
        <w:t>Функции подсистемы хранения медиаконтента (ПХМ)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ind w:hanging="0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ab/>
        <w:t>Подсистема хранения обеспечивает:</w:t>
      </w:r>
    </w:p>
    <w:p>
      <w:pPr>
        <w:pStyle w:val="BodyText"/>
        <w:numPr>
          <w:ilvl w:val="0"/>
          <w:numId w:val="5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многоуровневое хранение видеоархивов;</w:t>
      </w:r>
    </w:p>
    <w:p>
      <w:pPr>
        <w:pStyle w:val="BodyText"/>
        <w:numPr>
          <w:ilvl w:val="0"/>
          <w:numId w:val="5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быстрый доступ к текущему эфирному контенту;</w:t>
      </w:r>
    </w:p>
    <w:p>
      <w:pPr>
        <w:pStyle w:val="BodyText"/>
        <w:numPr>
          <w:ilvl w:val="0"/>
          <w:numId w:val="5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автоматическую миграцию данных между уровнями хранения;</w:t>
      </w:r>
    </w:p>
    <w:p>
      <w:pPr>
        <w:pStyle w:val="BodyText"/>
        <w:numPr>
          <w:ilvl w:val="0"/>
          <w:numId w:val="5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интеграцию с системами монтажа и вещания.</w:t>
      </w:r>
    </w:p>
    <w:p>
      <w:pPr>
        <w:pStyle w:val="42"/>
        <w:ind w:hanging="0" w:left="0"/>
        <w:rPr/>
      </w:pPr>
      <w:r>
        <w:rPr>
          <w:rStyle w:val="Strong"/>
          <w:b/>
          <w:shd w:fill="auto" w:val="clear"/>
        </w:rPr>
        <w:t>Функции подсистемы сетевого хранения данных (СХД)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ind w:hanging="0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ab/>
        <w:t>Подсистема СХД обеспечивает:</w:t>
      </w:r>
    </w:p>
    <w:p>
      <w:pPr>
        <w:pStyle w:val="BodyText"/>
        <w:numPr>
          <w:ilvl w:val="0"/>
          <w:numId w:val="53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высокоскоростной доступ к медиаданным;</w:t>
      </w:r>
    </w:p>
    <w:p>
      <w:pPr>
        <w:pStyle w:val="BodyText"/>
        <w:numPr>
          <w:ilvl w:val="0"/>
          <w:numId w:val="53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синхронную репликацию между площадками;</w:t>
      </w:r>
    </w:p>
    <w:p>
      <w:pPr>
        <w:pStyle w:val="BodyText"/>
        <w:numPr>
          <w:ilvl w:val="0"/>
          <w:numId w:val="53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отказоустойчивую архитектуру хранения;</w:t>
      </w:r>
    </w:p>
    <w:p>
      <w:pPr>
        <w:pStyle w:val="BodyText"/>
        <w:numPr>
          <w:ilvl w:val="0"/>
          <w:numId w:val="53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поддержку профессиональных видеоинтерфейсов.</w:t>
      </w:r>
    </w:p>
    <w:p>
      <w:pPr>
        <w:pStyle w:val="42"/>
        <w:ind w:hanging="0" w:left="0"/>
        <w:rPr/>
      </w:pPr>
      <w:r>
        <w:rPr>
          <w:rStyle w:val="Strong"/>
          <w:b/>
          <w:shd w:fill="auto" w:val="clear"/>
        </w:rPr>
        <w:t>Функции подсистемы трансляции и распределения контента (ПТРК)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ind w:hanging="0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ab/>
        <w:t>Подсистема трансляции обеспечивает:</w:t>
      </w:r>
    </w:p>
    <w:p>
      <w:pPr>
        <w:pStyle w:val="BodyText"/>
        <w:numPr>
          <w:ilvl w:val="0"/>
          <w:numId w:val="5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доставку контента на все платформы вещания;</w:t>
      </w:r>
    </w:p>
    <w:p>
      <w:pPr>
        <w:pStyle w:val="BodyText"/>
        <w:numPr>
          <w:ilvl w:val="0"/>
          <w:numId w:val="5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адаптацию потоков под разные форматы;</w:t>
      </w:r>
    </w:p>
    <w:p>
      <w:pPr>
        <w:pStyle w:val="BodyText"/>
        <w:numPr>
          <w:ilvl w:val="0"/>
          <w:numId w:val="5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управление CDN-инфраструктурой;</w:t>
      </w:r>
    </w:p>
    <w:p>
      <w:pPr>
        <w:pStyle w:val="BodyText"/>
        <w:numPr>
          <w:ilvl w:val="0"/>
          <w:numId w:val="5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мониторинг качества трансляции.</w:t>
      </w:r>
    </w:p>
    <w:p>
      <w:pPr>
        <w:pStyle w:val="42"/>
        <w:ind w:hanging="0" w:left="0"/>
        <w:rPr/>
      </w:pPr>
      <w:r>
        <w:rPr>
          <w:rStyle w:val="Strong"/>
          <w:b/>
          <w:shd w:fill="auto" w:val="clear"/>
        </w:rPr>
        <w:t>Функции подсистемы балансировки медианагрузки (ПБМН)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ind w:hanging="0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ab/>
        <w:t>Подсистема балансировки обеспечивает:</w:t>
      </w:r>
    </w:p>
    <w:p>
      <w:pPr>
        <w:pStyle w:val="BodyText"/>
        <w:numPr>
          <w:ilvl w:val="0"/>
          <w:numId w:val="55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распределение нагрузки между серверами трансляции;</w:t>
      </w:r>
    </w:p>
    <w:p>
      <w:pPr>
        <w:pStyle w:val="BodyText"/>
        <w:numPr>
          <w:ilvl w:val="0"/>
          <w:numId w:val="55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автоматическое масштабирование ресурсов;</w:t>
      </w:r>
    </w:p>
    <w:p>
      <w:pPr>
        <w:pStyle w:val="BodyText"/>
        <w:numPr>
          <w:ilvl w:val="0"/>
          <w:numId w:val="55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защиту от перегрузок в пиковые часы;</w:t>
      </w:r>
    </w:p>
    <w:p>
      <w:pPr>
        <w:pStyle w:val="BodyText"/>
        <w:numPr>
          <w:ilvl w:val="0"/>
          <w:numId w:val="55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мониторинг QoS для каждого канала доставки.</w:t>
      </w:r>
    </w:p>
    <w:p>
      <w:pPr>
        <w:pStyle w:val="42"/>
        <w:ind w:hanging="0" w:left="0"/>
        <w:rPr/>
      </w:pPr>
      <w:r>
        <w:rPr>
          <w:rStyle w:val="Strong"/>
          <w:b/>
          <w:shd w:fill="auto" w:val="clear"/>
        </w:rPr>
        <w:t>Функции подсистемы виртуализации телекоммуникаций (ПВТ)</w:t>
      </w:r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ind w:hanging="0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ab/>
        <w:t>Подсистема виртуализации сетей обеспечивает:</w:t>
      </w:r>
    </w:p>
    <w:p>
      <w:pPr>
        <w:pStyle w:val="BodyText"/>
        <w:numPr>
          <w:ilvl w:val="0"/>
          <w:numId w:val="56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создание изолированных виртуальных сетей для разных сервисов;</w:t>
      </w:r>
    </w:p>
    <w:p>
      <w:pPr>
        <w:pStyle w:val="BodyText"/>
        <w:numPr>
          <w:ilvl w:val="0"/>
          <w:numId w:val="56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динамическое управление QoS;</w:t>
      </w:r>
    </w:p>
    <w:p>
      <w:pPr>
        <w:pStyle w:val="BodyText"/>
        <w:numPr>
          <w:ilvl w:val="0"/>
          <w:numId w:val="56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программно-конфигурируемые медиасети;</w:t>
      </w:r>
    </w:p>
    <w:p>
      <w:pPr>
        <w:pStyle w:val="BodyText"/>
        <w:numPr>
          <w:ilvl w:val="0"/>
          <w:numId w:val="56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highlight w:val="none"/>
          <w:shd w:fill="auto" w:val="clear"/>
          <w:lang w:eastAsia="ru-RU"/>
        </w:rPr>
      </w:pPr>
      <w:r>
        <w:rPr>
          <w:rFonts w:cs="Times New Roman" w:ascii="Times New Roman" w:hAnsi="Times New Roman"/>
          <w:szCs w:val="24"/>
          <w:shd w:fill="auto" w:val="clear"/>
          <w:lang w:eastAsia="ru-RU"/>
        </w:rPr>
        <w:t>интеграцию с оборудованием SDI через специализированные шлюзы.</w:t>
      </w:r>
    </w:p>
    <w:p>
      <w:pPr>
        <w:pStyle w:val="Style29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Heading2"/>
        <w:numPr>
          <w:ilvl w:val="1"/>
          <w:numId w:val="1"/>
        </w:numPr>
        <w:rPr>
          <w:highlight w:val="none"/>
          <w:shd w:fill="FFFF00" w:val="clear"/>
        </w:rPr>
      </w:pPr>
      <w:bookmarkStart w:id="86" w:name="__RefHeading___Toc32479_3142906823"/>
      <w:bookmarkStart w:id="87" w:name="_Toc23149739"/>
      <w:bookmarkEnd w:id="86"/>
      <w:r>
        <w:rPr/>
        <w:t>Обеспечение потребительских характеристик Системы</w:t>
      </w:r>
      <w:bookmarkEnd w:id="87"/>
    </w:p>
    <w:p>
      <w:pPr>
        <w:pStyle w:val="Heading3"/>
        <w:rPr>
          <w:highlight w:val="none"/>
          <w:shd w:fill="auto" w:val="clear"/>
        </w:rPr>
      </w:pPr>
      <w:r>
        <w:rPr>
          <w:shd w:fill="auto" w:val="clear"/>
        </w:rPr>
        <w:t>Обеспечение высокой доступности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ab/>
        <w:t>ИТ-инфраструктура телеканала обеспечивает следующие характеристики отказоустойчивости: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Отказ любого отдельного компонента системы не приводит к прерыванию вещания благодаря резервированию критически важных элементов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При сбое физического сервера виртуальные машины автоматически перезапускаются на резервных узлах кластера с использованием механизмов VMware HA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Реализована географически распределенная кластерная архитектура между основным и резервным медиацентрами, обеспечивающая непрерывность вещания при аварии на одной площадке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Heading3"/>
        <w:rPr/>
      </w:pPr>
      <w:r>
        <w:rPr/>
        <w:t>Масштабируемость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ab/>
        <w:t>Система поддерживает: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Горизонтальное масштабирование за счет добавления новых серверных узлов в кластер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Вертикальное масштабирование виртуальных машин в пределах доступных ресурсов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Автоматическое масштабирование потоковых мощностей в зависимости от нагрузки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Возможность расширения систем хранения без остановки вещания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Heading2"/>
        <w:keepNext w:val="true"/>
        <w:widowControl/>
        <w:numPr>
          <w:ilvl w:val="1"/>
          <w:numId w:val="1"/>
        </w:numPr>
        <w:suppressAutoHyphens w:val="true"/>
        <w:bidi w:val="0"/>
        <w:spacing w:lineRule="auto" w:line="360" w:before="240" w:after="60"/>
        <w:ind w:hanging="0" w:left="0"/>
        <w:rPr/>
      </w:pPr>
      <w:r>
        <w:rPr>
          <w:rFonts w:eastAsia="Times New Roman" w:cs="Times New Roman"/>
          <w:b/>
          <w:bCs/>
          <w:i w:val="false"/>
          <w:iCs/>
          <w:color w:val="auto"/>
          <w:kern w:val="2"/>
          <w:sz w:val="28"/>
          <w:szCs w:val="28"/>
          <w:lang w:val="ru-RU" w:eastAsia="en-US" w:bidi="ar-SA"/>
        </w:rPr>
        <w:t>Персонал и квалификационные требования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ab/>
        <w:t>Для эксплуатации системы требуется следующий персонал: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1. Технические специалисты (не менее 2 человек):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Опыт администрирования серверных платформ Dell PowerEdge и HPE ProLiant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Навыки работы с системами хранения NetApp AFF и HPE 3PAR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Опыт настройки сетевого оборудования Cisco Nexus и Juniper MX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Знание систем балансировки нагрузки F5 BIG-IP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Опыт работы с системами защиты FortiGate и оборудованием DDoS-защиты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Навыки администрирования VMware vSphere и NSX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Опыт работы с медиаплатформами Dalet и Pebble Beach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Знание систем видеокодирования Harmonic и Elemental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2. Операторы вещания: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Опыт работы с эфирными серверами Imagine Communications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Навыки управления графическими системами Vizrt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Знание стандартов телевизионного вещания (SMPTE, EBU)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3. Требования к обучению: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Обязательное обучение работе с новым оборудованием перед вводом в эксплуатацию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Регулярное повышение квалификации по новым технологиям вещания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>- Тренировки по действиям в аварийных ситуациях</w:t>
      </w:r>
    </w:p>
    <w:p>
      <w:pPr>
        <w:pStyle w:val="Normal"/>
        <w:spacing w:lineRule="auto" w:line="360"/>
        <w:jc w:val="both"/>
        <w:rPr>
          <w:highlight w:val="none"/>
          <w:shd w:fill="auto" w:val="clear"/>
        </w:rPr>
      </w:pPr>
      <w:r>
        <w:rPr>
          <w:shd w:fill="auto" w:val="clear"/>
        </w:rPr>
        <w:tab/>
        <w:t>Персонал должен быть полностью укомплектован и обучен до начала промышленной эксплуатации системы. Для обеспечения круглосуточной поддержки вещания устанавливается график дежурств технических специалистов.</w:t>
      </w:r>
    </w:p>
    <w:p>
      <w:pPr>
        <w:pStyle w:val="Heading1"/>
        <w:tabs>
          <w:tab w:val="clear" w:pos="708"/>
          <w:tab w:val="left" w:pos="1213" w:leader="none"/>
        </w:tabs>
        <w:spacing w:lineRule="auto" w:line="360" w:before="0" w:after="60"/>
        <w:contextualSpacing/>
        <w:jc w:val="both"/>
        <w:rPr>
          <w:rFonts w:cs="Times New Roman"/>
        </w:rPr>
      </w:pPr>
      <w:bookmarkStart w:id="88" w:name="__RefHeading___Toc43262_1235471678"/>
      <w:bookmarkStart w:id="89" w:name="_Toc23149743"/>
      <w:bookmarkEnd w:id="88"/>
      <w:r>
        <w:rPr>
          <w:rFonts w:cs="Times New Roman"/>
        </w:rPr>
        <w:t>Мероприятия по подготовке объекта автоматизации к вводу Системы в действие</w:t>
      </w:r>
      <w:bookmarkEnd w:id="89"/>
    </w:p>
    <w:p>
      <w:pPr>
        <w:pStyle w:val="Title"/>
        <w:rPr/>
      </w:pPr>
      <w:bookmarkStart w:id="90" w:name="__RefHeading___Toc32487_3142906823"/>
      <w:bookmarkStart w:id="91" w:name="_Toc23149744"/>
      <w:bookmarkEnd w:id="90"/>
      <w:r>
        <w:rPr/>
        <w:t>Инженерные системы</w:t>
      </w:r>
      <w:bookmarkEnd w:id="91"/>
    </w:p>
    <w:p>
      <w:pPr>
        <w:pStyle w:val="Style29"/>
        <w:rPr/>
      </w:pPr>
      <w:r>
        <w:rPr/>
        <w:tab/>
        <w:t>Аппаратное обеспечение системы телеканала устанавливается в специально оборудованные аппаратно-студийные помещения, отвечающие следующим требованиям: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1. Физическая инфраструктура:</w:t>
      </w:r>
    </w:p>
    <w:p>
      <w:pPr>
        <w:pStyle w:val="Style29"/>
        <w:rPr/>
      </w:pPr>
      <w:r>
        <w:rPr/>
        <w:t>- Серверные стойки 19" глубиной 800-1000 мм с возможностью размещения вещательного оборудования</w:t>
      </w:r>
    </w:p>
    <w:p>
      <w:pPr>
        <w:pStyle w:val="Style29"/>
        <w:rPr/>
      </w:pPr>
      <w:r>
        <w:rPr/>
        <w:t>- Организация кабельной инфраструктуры с разделением силовых и сигнальных линий</w:t>
      </w:r>
    </w:p>
    <w:p>
      <w:pPr>
        <w:pStyle w:val="Style29"/>
        <w:rPr/>
      </w:pPr>
      <w:r>
        <w:rPr/>
        <w:t>- Обеспечение доступа для обслуживания и вентиляции оборудования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2. Электроснабжение:</w:t>
      </w:r>
    </w:p>
    <w:p>
      <w:pPr>
        <w:pStyle w:val="Style29"/>
        <w:rPr/>
      </w:pPr>
      <w:r>
        <w:rPr/>
        <w:t>- Двухконтурная система питания от независимых источников</w:t>
      </w:r>
    </w:p>
    <w:p>
      <w:pPr>
        <w:pStyle w:val="Style29"/>
        <w:rPr/>
      </w:pPr>
      <w:r>
        <w:rPr/>
        <w:t>- Модули PDU в стойках запитываются от разных фидеров</w:t>
      </w:r>
    </w:p>
    <w:p>
      <w:pPr>
        <w:pStyle w:val="Style29"/>
        <w:rPr/>
      </w:pPr>
      <w:r>
        <w:rPr/>
        <w:t>- Бесперебойное питание с автономной работой не менее 30 минут</w:t>
      </w:r>
    </w:p>
    <w:p>
      <w:pPr>
        <w:pStyle w:val="Style29"/>
        <w:rPr/>
      </w:pPr>
      <w:r>
        <w:rPr/>
        <w:t>- Параметры сети: 220В ±10%, 50 Гц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3. Климатические условия:</w:t>
      </w:r>
    </w:p>
    <w:p>
      <w:pPr>
        <w:pStyle w:val="Style29"/>
        <w:rPr/>
      </w:pPr>
      <w:r>
        <w:rPr/>
        <w:t>- Температурный режим: 18-23°С (рабочий диапазон 10-35°С)</w:t>
      </w:r>
    </w:p>
    <w:p>
      <w:pPr>
        <w:pStyle w:val="Style29"/>
        <w:rPr/>
      </w:pPr>
      <w:r>
        <w:rPr/>
        <w:t>- Влажность: 45-65% (допустимый диапазон 20-80%)</w:t>
      </w:r>
    </w:p>
    <w:p>
      <w:pPr>
        <w:pStyle w:val="Style29"/>
        <w:rPr/>
      </w:pPr>
      <w:r>
        <w:rPr/>
        <w:t>- Концентрация пыли: не более 0,5 мг/м³</w:t>
      </w:r>
    </w:p>
    <w:p>
      <w:pPr>
        <w:pStyle w:val="Style29"/>
        <w:rPr/>
      </w:pPr>
      <w:r>
        <w:rPr/>
        <w:t>- Уровень электромагнитных помех: не выше 0,3 В/м (0,15-300 МГц)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4. Безопасность:</w:t>
      </w:r>
    </w:p>
    <w:p>
      <w:pPr>
        <w:pStyle w:val="Style29"/>
        <w:rPr/>
      </w:pPr>
      <w:r>
        <w:rPr/>
        <w:t>- Система пожаротушения газового типа</w:t>
      </w:r>
    </w:p>
    <w:p>
      <w:pPr>
        <w:pStyle w:val="Style29"/>
        <w:rPr/>
      </w:pPr>
      <w:r>
        <w:rPr/>
        <w:t>- Заземление по стандартам телевизионных центров</w:t>
      </w:r>
    </w:p>
    <w:p>
      <w:pPr>
        <w:pStyle w:val="Style29"/>
        <w:rPr/>
      </w:pPr>
      <w:r>
        <w:rPr/>
        <w:t>- Защита от перепадов напряжения и электромагнитных наводок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5. Специальные требования:</w:t>
      </w:r>
    </w:p>
    <w:p>
      <w:pPr>
        <w:pStyle w:val="Style29"/>
        <w:rPr/>
      </w:pPr>
      <w:r>
        <w:rPr/>
        <w:t>- Отдельные зоны для размещения:</w:t>
      </w:r>
    </w:p>
    <w:p>
      <w:pPr>
        <w:pStyle w:val="Style29"/>
        <w:rPr/>
      </w:pPr>
      <w:r>
        <w:rPr/>
        <w:t xml:space="preserve">  </w:t>
      </w:r>
      <w:r>
        <w:rPr/>
        <w:t>* Вещательного оборудования</w:t>
      </w:r>
    </w:p>
    <w:p>
      <w:pPr>
        <w:pStyle w:val="Style29"/>
        <w:rPr/>
      </w:pPr>
      <w:r>
        <w:rPr/>
        <w:t xml:space="preserve">  </w:t>
      </w:r>
      <w:r>
        <w:rPr/>
        <w:t>* Серверной инфраструктуры</w:t>
      </w:r>
    </w:p>
    <w:p>
      <w:pPr>
        <w:pStyle w:val="Style29"/>
        <w:rPr/>
      </w:pPr>
      <w:r>
        <w:rPr/>
        <w:t xml:space="preserve">  </w:t>
      </w:r>
      <w:r>
        <w:rPr/>
        <w:t>* Систем хранения данных</w:t>
      </w:r>
    </w:p>
    <w:p>
      <w:pPr>
        <w:pStyle w:val="Style29"/>
        <w:rPr/>
      </w:pPr>
      <w:r>
        <w:rPr/>
        <w:t xml:space="preserve">  </w:t>
      </w:r>
      <w:r>
        <w:rPr/>
        <w:t>* Сетевого оборудования</w:t>
      </w:r>
    </w:p>
    <w:p>
      <w:pPr>
        <w:pStyle w:val="Style29"/>
        <w:rPr/>
      </w:pPr>
      <w:r>
        <w:rPr/>
        <w:t>- Акустическая изоляция критичных помещений</w:t>
      </w:r>
    </w:p>
    <w:p>
      <w:pPr>
        <w:pStyle w:val="Style29"/>
        <w:rPr/>
      </w:pPr>
      <w:r>
        <w:rPr/>
        <w:t>- Вибрационная защита для точного оборудования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ab/>
        <w:t>Нормативные требования:</w:t>
      </w:r>
    </w:p>
    <w:p>
      <w:pPr>
        <w:pStyle w:val="Style29"/>
        <w:rPr/>
      </w:pPr>
      <w:r>
        <w:rPr/>
        <w:t>- Соответствие ГОСТ Р 51558-2014 для телевизионного оборудования</w:t>
      </w:r>
    </w:p>
    <w:p>
      <w:pPr>
        <w:pStyle w:val="Style29"/>
        <w:rPr/>
      </w:pPr>
      <w:r>
        <w:rPr/>
        <w:t>- Выполнение ПУЭ и ПТБ для электроустановок</w:t>
      </w:r>
    </w:p>
    <w:p>
      <w:pPr>
        <w:pStyle w:val="Style29"/>
        <w:rPr/>
      </w:pPr>
      <w:r>
        <w:rPr/>
        <w:t>- Соответствие СанПиН 2.2.4.3359-16 для рабочих зон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ab/>
        <w:t>Система сохраняет работоспособность при кратковременных (до 4 часов) отклонениях климатических параметров в указанных пределах. Для критичного вещательного оборудования обеспечивается поддержание параметров в оптимальном диапазоне 20±2°С, 50±10% влажности..</w:t>
      </w:r>
    </w:p>
    <w:p>
      <w:pPr>
        <w:pStyle w:val="Title"/>
        <w:ind w:hanging="578" w:left="578"/>
        <w:rPr/>
      </w:pPr>
      <w:bookmarkStart w:id="92" w:name="__RefHeading___Toc32489_3142906823"/>
      <w:bookmarkStart w:id="93" w:name="_Toc23149745"/>
      <w:bookmarkEnd w:id="92"/>
      <w:r>
        <w:rPr/>
        <w:t>Сеть хранения данных</w:t>
      </w:r>
      <w:bookmarkEnd w:id="93"/>
    </w:p>
    <w:p>
      <w:pPr>
        <w:pStyle w:val="Style29"/>
        <w:rPr/>
      </w:pPr>
      <w:r>
        <w:rPr/>
        <w:tab/>
        <w:t xml:space="preserve">Для организации единой распределенной сети хранения медиаконтента между основным и резервным производственными центрами телеканала требуется модернизация существующей SAN-инфраструктуры.  </w:t>
      </w:r>
    </w:p>
    <w:p>
      <w:pPr>
        <w:pStyle w:val="Style29"/>
        <w:rPr/>
      </w:pPr>
      <w:r>
        <w:rPr/>
        <w:tab/>
        <w:t xml:space="preserve">Необходимо активировать лицензии FC-FC маршрутизации на имеющихся SAN-директорах для обеспечения межплощадочного взаимодействия. На каждом директоре создается отдельный логический коммутатор с уникальным Fabric ID, отличным от основного коммутатора. Конфигурация логического коммутатора включает 16 портов, из которых 4 порта настраиваются в режиме EX_Port для соединения маршрутизатора с FC-коммутатором.  </w:t>
      </w:r>
    </w:p>
    <w:p>
      <w:pPr>
        <w:pStyle w:val="Style29"/>
        <w:rPr/>
      </w:pPr>
      <w:r>
        <w:rPr/>
        <w:tab/>
        <w:t xml:space="preserve">EX_Port логического коммутатора подключаются к E_Port основного коммутатора, формируя единую транспортную среду. Дополнительно 4 E_Port объединяются в Trunk-группу и подключаются к DWDM-оборудованию для организации высокоскоростных каналов связи между площадками.  </w:t>
      </w:r>
    </w:p>
    <w:p>
      <w:pPr>
        <w:pStyle w:val="Style29"/>
        <w:rPr/>
      </w:pPr>
      <w:r>
        <w:rPr/>
        <w:tab/>
        <w:t xml:space="preserve">Межплощадочное соединение реализуется через 4 независимых оптических линка с пропускной способностью 10 Гбит/с каждый, что обеспечивает необходимую производительность для синхронной репликации медиаконтента и работы распределенных систем вещания. Все соединения дублируются для обеспечения отказоустойчивости.  </w:t>
      </w:r>
    </w:p>
    <w:p>
      <w:pPr>
        <w:pStyle w:val="Style29"/>
        <w:rPr/>
      </w:pPr>
      <w:r>
        <w:rPr/>
        <w:tab/>
        <w:t>Особое внимание уделяется настройке зонирования и маршрутизации для обеспечения изолированного доступа различных производственных систем к ресурсам хранения данных. Конфигурация сети разрабатывается с учетом требований к задержкам для работы с видео в реальном времени и гарантированной пропускной способности для передачи несжатых видеопотоков.</w:t>
      </w:r>
    </w:p>
    <w:p>
      <w:pPr>
        <w:pStyle w:val="Title"/>
        <w:ind w:hanging="578" w:left="578"/>
        <w:rPr/>
      </w:pPr>
      <w:bookmarkStart w:id="94" w:name="__RefHeading___Toc32491_3142906823"/>
      <w:bookmarkStart w:id="95" w:name="_Toc23149746"/>
      <w:bookmarkEnd w:id="94"/>
      <w:r>
        <w:rPr/>
        <w:t>Виртуальная среда</w:t>
      </w:r>
      <w:bookmarkEnd w:id="95"/>
    </w:p>
    <w:p>
      <w:pPr>
        <w:pStyle w:val="BodyText"/>
        <w:tabs>
          <w:tab w:val="clear" w:pos="708"/>
          <w:tab w:val="left" w:pos="851" w:leader="none"/>
        </w:tabs>
        <w:suppressAutoHyphens w:val="true"/>
        <w:spacing w:lineRule="auto" w:line="360" w:before="60" w:after="6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Для подготовки виртуальной инфраструктуры телеканала к вводу в эксплуатацию необходимо выполнить следующие работы:</w:t>
      </w:r>
    </w:p>
    <w:p>
      <w:pPr>
        <w:pStyle w:val="BodyText"/>
        <w:numPr>
          <w:ilvl w:val="0"/>
          <w:numId w:val="57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Модернизация существующей платформы виртуализации до актуальной версии VMware vSphere 7.0 с переходом на встроенную модель PSC (Embedded Platform Services Controller). Это обеспечит упрощенное управление и повышенную отказоустойчивость.</w:t>
      </w:r>
    </w:p>
    <w:p>
      <w:pPr>
        <w:pStyle w:val="BodyText"/>
        <w:numPr>
          <w:ilvl w:val="0"/>
          <w:numId w:val="57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Организация высокодоступной конфигурации vCenter HA, для чего требуется:</w:t>
      </w:r>
    </w:p>
    <w:p>
      <w:pPr>
        <w:pStyle w:val="BodyText"/>
        <w:numPr>
          <w:ilvl w:val="0"/>
          <w:numId w:val="58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Выделение трех дополнительных IP-адресов из служебной подсети для работы механизма VCHA</w:t>
      </w:r>
    </w:p>
    <w:p>
      <w:pPr>
        <w:pStyle w:val="BodyText"/>
        <w:numPr>
          <w:ilvl w:val="0"/>
          <w:numId w:val="58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Проверка наличия достаточных вычислительных ресурсов (не менее 8 vCPU и 24 ГБ RAM)</w:t>
      </w:r>
    </w:p>
    <w:p>
      <w:pPr>
        <w:pStyle w:val="BodyText"/>
        <w:numPr>
          <w:ilvl w:val="0"/>
          <w:numId w:val="58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Подтверждение свободного места на хранилище данных (минимум 500 ГБ) для развертывания узлов Passive и Witness</w:t>
      </w:r>
    </w:p>
    <w:p>
      <w:pPr>
        <w:pStyle w:val="BodyText"/>
        <w:numPr>
          <w:ilvl w:val="0"/>
          <w:numId w:val="59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Настройка интеграции с системами аутентификации телеканала через встроенные службы Platform Services Controller, включая:</w:t>
      </w:r>
    </w:p>
    <w:p>
      <w:pPr>
        <w:pStyle w:val="BodyText"/>
        <w:numPr>
          <w:ilvl w:val="0"/>
          <w:numId w:val="6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Подключение к корпоративной службе Active Directory</w:t>
      </w:r>
    </w:p>
    <w:p>
      <w:pPr>
        <w:pStyle w:val="BodyText"/>
        <w:numPr>
          <w:ilvl w:val="0"/>
          <w:numId w:val="6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Настройку ролевого доступа для технического персонала</w:t>
      </w:r>
    </w:p>
    <w:p>
      <w:pPr>
        <w:pStyle w:val="BodyText"/>
        <w:numPr>
          <w:ilvl w:val="0"/>
          <w:numId w:val="60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Конфигурацию политик безопасности в соответствии с требованиями медиапроизводства</w:t>
      </w:r>
    </w:p>
    <w:p>
      <w:pPr>
        <w:pStyle w:val="BodyText"/>
        <w:numPr>
          <w:ilvl w:val="0"/>
          <w:numId w:val="61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Подготовка специализированных шаблонов виртуальных машин для:</w:t>
      </w:r>
    </w:p>
    <w:p>
      <w:pPr>
        <w:pStyle w:val="BodyText"/>
        <w:numPr>
          <w:ilvl w:val="0"/>
          <w:numId w:val="6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Систем эфирного вещания (с гарантированными ресурсами vCPU и RAM)</w:t>
      </w:r>
    </w:p>
    <w:p>
      <w:pPr>
        <w:pStyle w:val="BodyText"/>
        <w:numPr>
          <w:ilvl w:val="0"/>
          <w:numId w:val="6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Серверов обработки видео (с поддержкой GPU passthrough)</w:t>
      </w:r>
    </w:p>
    <w:p>
      <w:pPr>
        <w:pStyle w:val="BodyText"/>
        <w:numPr>
          <w:ilvl w:val="0"/>
          <w:numId w:val="62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Инфраструктурных сервисов (DNS, NTP, мониторинг)</w:t>
      </w:r>
    </w:p>
    <w:p>
      <w:pPr>
        <w:pStyle w:val="BodyText"/>
        <w:numPr>
          <w:ilvl w:val="0"/>
          <w:numId w:val="63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Настройка распределенных виртуальных коммутаторов (vDS) с учетом:</w:t>
      </w:r>
    </w:p>
    <w:p>
      <w:pPr>
        <w:pStyle w:val="BodyText"/>
        <w:numPr>
          <w:ilvl w:val="0"/>
          <w:numId w:val="6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Требований к пропускной способности для видеопотоков</w:t>
      </w:r>
    </w:p>
    <w:p>
      <w:pPr>
        <w:pStyle w:val="BodyText"/>
        <w:numPr>
          <w:ilvl w:val="0"/>
          <w:numId w:val="6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Необходимости изоляции производственных контуров</w:t>
      </w:r>
    </w:p>
    <w:p>
      <w:pPr>
        <w:pStyle w:val="BodyText"/>
        <w:numPr>
          <w:ilvl w:val="0"/>
          <w:numId w:val="64"/>
        </w:numPr>
        <w:tabs>
          <w:tab w:val="clear" w:pos="708"/>
          <w:tab w:val="left" w:pos="0" w:leader="none"/>
          <w:tab w:val="left" w:pos="142" w:leader="none"/>
        </w:tabs>
        <w:suppressAutoHyphens w:val="true"/>
        <w:spacing w:lineRule="auto" w:line="360" w:before="60" w:after="60"/>
        <w:ind w:firstLine="257" w:left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Поддержки функций QoS для приоритезации критичного трафика</w:t>
      </w:r>
    </w:p>
    <w:p>
      <w:pPr>
        <w:pStyle w:val="Style29"/>
        <w:rPr/>
      </w:pPr>
      <w:r>
        <w:rPr/>
      </w:r>
    </w:p>
    <w:p>
      <w:pPr>
        <w:pStyle w:val="Style29"/>
        <w:numPr>
          <w:ilvl w:val="0"/>
          <w:numId w:val="0"/>
        </w:numPr>
        <w:ind w:hanging="0" w:left="1429"/>
        <w:rPr>
          <w:rFonts w:ascii="Times New Roman" w:hAnsi="Times New Roman"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8" w:right="1134" w:gutter="0" w:header="709" w:top="1134" w:footer="556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  <w:font w:name="Arial Unicode MS">
    <w:charset w:val="01"/>
    <w:family w:val="swiss"/>
    <w:pitch w:val="variable"/>
  </w:font>
  <w:font w:name="TimesNewRomanPSM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Garamond">
    <w:charset w:val="01"/>
    <w:family w:val="roman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0" w:color="000000"/>
      </w:pBdr>
      <w:tabs>
        <w:tab w:val="clear" w:pos="4677"/>
        <w:tab w:val="clear" w:pos="9355"/>
        <w:tab w:val="center" w:pos="7320" w:leader="none"/>
        <w:tab w:val="right" w:pos="14520" w:leader="none"/>
      </w:tabs>
      <w:rPr>
        <w:rFonts w:ascii="Times New Roman" w:hAnsi="Times New Roman" w:cs="Times New Roman"/>
        <w:szCs w:val="18"/>
      </w:rPr>
    </w:pPr>
    <w:r>
      <w:rPr>
        <w:rFonts w:cs="Times New Roman" w:ascii="Times New Roman" w:hAnsi="Times New Roman"/>
        <w:szCs w:val="18"/>
      </w:rPr>
      <w:t xml:space="preserve">                                                                                                                            </w:t>
    </w:r>
    <w:r>
      <w:rPr>
        <w:rFonts w:cs="Times New Roman" w:ascii="Times New Roman" w:hAnsi="Times New Roman"/>
        <w:szCs w:val="18"/>
      </w:rPr>
      <w:t xml:space="preserve">Страница </w:t>
    </w:r>
    <w:r>
      <w:rPr>
        <w:rStyle w:val="PageNumber"/>
        <w:rFonts w:cs="Times New Roman" w:ascii="Times New Roman" w:hAnsi="Times New Roman"/>
        <w:szCs w:val="18"/>
      </w:rPr>
      <w:fldChar w:fldCharType="begin"/>
    </w:r>
    <w:r>
      <w:rPr>
        <w:rStyle w:val="PageNumber"/>
        <w:szCs w:val="18"/>
        <w:rFonts w:cs="Times New Roman" w:ascii="Times New Roman" w:hAnsi="Times New Roman"/>
      </w:rPr>
      <w:instrText xml:space="preserve"> PAGE </w:instrText>
    </w:r>
    <w:r>
      <w:rPr>
        <w:rStyle w:val="PageNumber"/>
        <w:szCs w:val="18"/>
        <w:rFonts w:cs="Times New Roman" w:ascii="Times New Roman" w:hAnsi="Times New Roman"/>
      </w:rPr>
      <w:fldChar w:fldCharType="separate"/>
    </w:r>
    <w:r>
      <w:rPr>
        <w:rStyle w:val="PageNumber"/>
        <w:szCs w:val="18"/>
        <w:rFonts w:cs="Times New Roman" w:ascii="Times New Roman" w:hAnsi="Times New Roman"/>
      </w:rPr>
      <w:t>26</w:t>
    </w:r>
    <w:r>
      <w:rPr>
        <w:rStyle w:val="PageNumber"/>
        <w:szCs w:val="18"/>
        <w:rFonts w:cs="Times New Roman" w:ascii="Times New Roman" w:hAnsi="Times New Roman"/>
      </w:rPr>
      <w:fldChar w:fldCharType="end"/>
    </w:r>
    <w:r>
      <w:rPr>
        <w:rStyle w:val="PageNumber"/>
        <w:rFonts w:cs="Times New Roman" w:ascii="Times New Roman" w:hAnsi="Times New Roman"/>
        <w:szCs w:val="18"/>
      </w:rPr>
      <w:t xml:space="preserve"> из </w:t>
    </w:r>
    <w:r>
      <w:rPr>
        <w:rStyle w:val="PageNumber"/>
        <w:rFonts w:cs="Times New Roman" w:ascii="Times New Roman" w:hAnsi="Times New Roman"/>
        <w:szCs w:val="18"/>
      </w:rPr>
      <w:fldChar w:fldCharType="begin"/>
    </w:r>
    <w:r>
      <w:rPr>
        <w:rStyle w:val="PageNumber"/>
        <w:szCs w:val="18"/>
        <w:rFonts w:cs="Times New Roman" w:ascii="Times New Roman" w:hAnsi="Times New Roman"/>
      </w:rPr>
      <w:instrText xml:space="preserve"> NUMPAGES </w:instrText>
    </w:r>
    <w:r>
      <w:rPr>
        <w:rStyle w:val="PageNumber"/>
        <w:szCs w:val="18"/>
        <w:rFonts w:cs="Times New Roman" w:ascii="Times New Roman" w:hAnsi="Times New Roman"/>
      </w:rPr>
      <w:fldChar w:fldCharType="separate"/>
    </w:r>
    <w:r>
      <w:rPr>
        <w:rStyle w:val="PageNumber"/>
        <w:szCs w:val="18"/>
        <w:rFonts w:cs="Times New Roman" w:ascii="Times New Roman" w:hAnsi="Times New Roman"/>
      </w:rPr>
      <w:t>26</w:t>
    </w:r>
    <w:r>
      <w:rPr>
        <w:rStyle w:val="PageNumber"/>
        <w:szCs w:val="18"/>
        <w:rFonts w:cs="Times New Roman" w:ascii="Times New Roman" w:hAnsi="Times New Roman"/>
      </w:rPr>
      <w:fldChar w:fldCharType="end"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0" w:color="000000"/>
      </w:pBdr>
      <w:tabs>
        <w:tab w:val="clear" w:pos="4677"/>
        <w:tab w:val="clear" w:pos="9355"/>
        <w:tab w:val="center" w:pos="7320" w:leader="none"/>
        <w:tab w:val="right" w:pos="14520" w:leader="none"/>
      </w:tabs>
      <w:rPr>
        <w:rFonts w:ascii="Times New Roman" w:hAnsi="Times New Roman" w:cs="Times New Roman"/>
        <w:szCs w:val="18"/>
      </w:rPr>
    </w:pPr>
    <w:r>
      <w:rPr>
        <w:rFonts w:cs="Times New Roman" w:ascii="Times New Roman" w:hAnsi="Times New Roman"/>
        <w:szCs w:val="18"/>
      </w:rPr>
      <w:t xml:space="preserve">                                                                                                                            </w:t>
    </w:r>
    <w:r>
      <w:rPr>
        <w:rFonts w:cs="Times New Roman" w:ascii="Times New Roman" w:hAnsi="Times New Roman"/>
        <w:szCs w:val="18"/>
      </w:rPr>
      <w:t xml:space="preserve">Страница </w:t>
    </w:r>
    <w:r>
      <w:rPr>
        <w:rStyle w:val="PageNumber"/>
        <w:rFonts w:cs="Times New Roman" w:ascii="Times New Roman" w:hAnsi="Times New Roman"/>
        <w:szCs w:val="18"/>
      </w:rPr>
      <w:fldChar w:fldCharType="begin"/>
    </w:r>
    <w:r>
      <w:rPr>
        <w:rStyle w:val="PageNumber"/>
        <w:szCs w:val="18"/>
        <w:rFonts w:cs="Times New Roman" w:ascii="Times New Roman" w:hAnsi="Times New Roman"/>
      </w:rPr>
      <w:instrText xml:space="preserve"> PAGE </w:instrText>
    </w:r>
    <w:r>
      <w:rPr>
        <w:rStyle w:val="PageNumber"/>
        <w:szCs w:val="18"/>
        <w:rFonts w:cs="Times New Roman" w:ascii="Times New Roman" w:hAnsi="Times New Roman"/>
      </w:rPr>
      <w:fldChar w:fldCharType="separate"/>
    </w:r>
    <w:r>
      <w:rPr>
        <w:rStyle w:val="PageNumber"/>
        <w:szCs w:val="18"/>
        <w:rFonts w:cs="Times New Roman" w:ascii="Times New Roman" w:hAnsi="Times New Roman"/>
      </w:rPr>
      <w:t>26</w:t>
    </w:r>
    <w:r>
      <w:rPr>
        <w:rStyle w:val="PageNumber"/>
        <w:szCs w:val="18"/>
        <w:rFonts w:cs="Times New Roman" w:ascii="Times New Roman" w:hAnsi="Times New Roman"/>
      </w:rPr>
      <w:fldChar w:fldCharType="end"/>
    </w:r>
    <w:r>
      <w:rPr>
        <w:rStyle w:val="PageNumber"/>
        <w:rFonts w:cs="Times New Roman" w:ascii="Times New Roman" w:hAnsi="Times New Roman"/>
        <w:szCs w:val="18"/>
      </w:rPr>
      <w:t xml:space="preserve"> из </w:t>
    </w:r>
    <w:r>
      <w:rPr>
        <w:rStyle w:val="PageNumber"/>
        <w:rFonts w:cs="Times New Roman" w:ascii="Times New Roman" w:hAnsi="Times New Roman"/>
        <w:szCs w:val="18"/>
      </w:rPr>
      <w:fldChar w:fldCharType="begin"/>
    </w:r>
    <w:r>
      <w:rPr>
        <w:rStyle w:val="PageNumber"/>
        <w:szCs w:val="18"/>
        <w:rFonts w:cs="Times New Roman" w:ascii="Times New Roman" w:hAnsi="Times New Roman"/>
      </w:rPr>
      <w:instrText xml:space="preserve"> NUMPAGES </w:instrText>
    </w:r>
    <w:r>
      <w:rPr>
        <w:rStyle w:val="PageNumber"/>
        <w:szCs w:val="18"/>
        <w:rFonts w:cs="Times New Roman" w:ascii="Times New Roman" w:hAnsi="Times New Roman"/>
      </w:rPr>
      <w:fldChar w:fldCharType="separate"/>
    </w:r>
    <w:r>
      <w:rPr>
        <w:rStyle w:val="PageNumber"/>
        <w:szCs w:val="18"/>
        <w:rFonts w:cs="Times New Roman" w:ascii="Times New Roman" w:hAnsi="Times New Roman"/>
      </w:rPr>
      <w:t>26</w:t>
    </w:r>
    <w:r>
      <w:rPr>
        <w:rStyle w:val="PageNumber"/>
        <w:szCs w:val="18"/>
        <w:rFonts w:cs="Times New Roman" w:ascii="Times New Roman" w:hAnsi="Times New Roman"/>
      </w:rPr>
      <w:fldChar w:fldCharType="end"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8214"/>
      <w:gridCol w:w="1324"/>
    </w:tblGrid>
    <w:tr>
      <w:trPr>
        <w:trHeight w:val="225" w:hRule="atLeast"/>
      </w:trPr>
      <w:tc>
        <w:tcPr>
          <w:tcW w:w="821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tabs>
              <w:tab w:val="center" w:pos="4677" w:leader="none"/>
              <w:tab w:val="left" w:pos="6098" w:leader="none"/>
              <w:tab w:val="right" w:pos="9355" w:leader="none"/>
            </w:tabs>
            <w:rPr/>
          </w:pPr>
          <w:r>
            <w:rPr/>
          </w:r>
        </w:p>
      </w:tc>
      <w:tc>
        <w:tcPr>
          <w:tcW w:w="132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rPr>
        <w:lang w:val="en-US"/>
      </w:rPr>
    </w:pPr>
    <w:r>
      <w:rPr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8214"/>
      <w:gridCol w:w="1324"/>
    </w:tblGrid>
    <w:tr>
      <w:trPr>
        <w:trHeight w:val="225" w:hRule="atLeast"/>
      </w:trPr>
      <w:tc>
        <w:tcPr>
          <w:tcW w:w="821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tabs>
              <w:tab w:val="center" w:pos="4677" w:leader="none"/>
              <w:tab w:val="left" w:pos="6098" w:leader="none"/>
              <w:tab w:val="right" w:pos="9355" w:leader="none"/>
            </w:tabs>
            <w:rPr/>
          </w:pPr>
          <w:r>
            <w:rPr/>
          </w:r>
        </w:p>
      </w:tc>
      <w:tc>
        <w:tcPr>
          <w:tcW w:w="132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rPr>
        <w:lang w:val="en-US"/>
      </w:rPr>
    </w:pPr>
    <w:r>
      <w:rPr>
        <w:lang w:val="en-US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Times New Roman" w:hAnsi="Times New Roman" w:cs="Times New Roman"/>
        <w:sz w:val="8"/>
        <w:szCs w:val="8"/>
      </w:rPr>
    </w:pPr>
    <w:r>
      <w:rPr>
        <w:rFonts w:cs="Times New Roman" w:ascii="Times New Roman" w:hAnsi="Times New Roman"/>
      </w:rPr>
      <w:t>Пояснительная записка</w:t>
      <w:br/>
      <w:t xml:space="preserve">ИТ-инфраструктура </w:t>
    </w:r>
    <w:r>
      <w:rPr>
        <w:rFonts w:cs="Times New Roman" w:ascii="Times New Roman" w:hAnsi="Times New Roman"/>
        <w:b w:val="false"/>
        <w:bCs w:val="false"/>
        <w:sz w:val="20"/>
        <w:szCs w:val="20"/>
      </w:rPr>
      <w:t>ТВ-канала</w:t>
    </w:r>
    <w:r>
      <w:rPr>
        <w:rFonts w:cs="Times New Roman" w:ascii="Times New Roman" w:hAnsi="Times New Roman"/>
      </w:rPr>
      <w:b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Times New Roman" w:hAnsi="Times New Roman" w:cs="Times New Roman"/>
        <w:sz w:val="8"/>
        <w:szCs w:val="8"/>
      </w:rPr>
    </w:pPr>
    <w:r>
      <w:rPr>
        <w:rFonts w:cs="Times New Roman" w:ascii="Times New Roman" w:hAnsi="Times New Roman"/>
      </w:rPr>
      <w:t>Пояснительная записка</w:t>
      <w:br/>
      <w:t xml:space="preserve">ИТ-инфраструктура </w:t>
    </w:r>
    <w:r>
      <w:rPr>
        <w:rFonts w:cs="Times New Roman" w:ascii="Times New Roman" w:hAnsi="Times New Roman"/>
        <w:b w:val="false"/>
        <w:bCs w:val="false"/>
        <w:sz w:val="20"/>
        <w:szCs w:val="20"/>
      </w:rPr>
      <w:t>ТВ-канала</w:t>
    </w:r>
    <w:r>
      <w:rPr>
        <w:rFonts w:cs="Times New Roman" w:ascii="Times New Roman" w:hAnsi="Times New Roman"/>
      </w:rPr>
      <w:b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 %1 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le"/>
      <w:numFmt w:val="decimal"/>
      <w:suff w:val="space"/>
      <w:lvlText w:val=" %1.%2 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suff w:val="space"/>
      <w:lvlText w:val=" %1.%2.%3 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42"/>
      <w:numFmt w:val="decimal"/>
      <w:suff w:val="space"/>
      <w:lvlText w:val=" %1.%2.%3.%4 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suff w:val="space"/>
      <w:lvlText w:val=" %1.%2.%3.%4.%5 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 %1.%2.%3.%4.%5.%6 "/>
      <w:lvlJc w:val="left"/>
      <w:pPr>
        <w:tabs>
          <w:tab w:val="num" w:pos="1152"/>
        </w:tabs>
        <w:ind w:left="1152" w:hanging="1152"/>
      </w:pPr>
      <w:rPr/>
    </w:lvl>
    <w:lvl w:ilvl="6">
      <w:start w:val="1"/>
      <w:pStyle w:val="Heading7"/>
      <w:numFmt w:val="decimal"/>
      <w:lvlText w:val=" %1.%2.%3.%4.%5.%6.%7 "/>
      <w:lvlJc w:val="left"/>
      <w:pPr>
        <w:tabs>
          <w:tab w:val="num" w:pos="1296"/>
        </w:tabs>
        <w:ind w:left="1296" w:hanging="1296"/>
      </w:pPr>
      <w:rPr/>
    </w:lvl>
    <w:lvl w:ilvl="7">
      <w:start w:val="1"/>
      <w:pStyle w:val="Heading8"/>
      <w:numFmt w:val="decimal"/>
      <w:lvlText w:val=" %1.%2.%3.%4.%5.%6.%7.%8 "/>
      <w:lvlJc w:val="left"/>
      <w:pPr>
        <w:tabs>
          <w:tab w:val="num" w:pos="1440"/>
        </w:tabs>
        <w:ind w:left="1440" w:hanging="1440"/>
      </w:pPr>
      <w:rPr/>
    </w:lvl>
    <w:lvl w:ilvl="8">
      <w:start w:val="1"/>
      <w:pStyle w:val="Heading9"/>
      <w:numFmt w:val="decimal"/>
      <w:lvlText w:val=" %1.%2.%3.%4.%5.%6.%7.%8.%9 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upperLetter"/>
      <w:lvlText w:val="Appendix %1"/>
      <w:lvlJc w:val="left"/>
      <w:pPr>
        <w:tabs>
          <w:tab w:val="num" w:pos="1701"/>
        </w:tabs>
        <w:ind w:left="1701" w:hanging="1701"/>
      </w:pPr>
      <w:rPr/>
    </w:lvl>
    <w:lvl w:ilvl="1">
      <w:start w:val="1"/>
      <w:numFmt w:val="decimal"/>
      <w:lvlText w:val="%1.%2"/>
      <w:lvlJc w:val="left"/>
      <w:pPr>
        <w:tabs>
          <w:tab w:val="num" w:pos="1701"/>
        </w:tabs>
        <w:ind w:left="1701" w:hanging="1701"/>
      </w:pPr>
      <w:rPr/>
    </w:lvl>
    <w:lvl w:ilvl="2">
      <w:start w:val="1"/>
      <w:numFmt w:val="decimal"/>
      <w:lvlText w:val="%1.%2.%3"/>
      <w:lvlJc w:val="left"/>
      <w:pPr>
        <w:tabs>
          <w:tab w:val="num" w:pos="1701"/>
        </w:tabs>
        <w:ind w:left="1701" w:hanging="1701"/>
      </w:pPr>
      <w:rPr/>
    </w:lvl>
    <w:lvl w:ilvl="3">
      <w:start w:val="1"/>
      <w:numFmt w:val="decimal"/>
      <w:lvlText w:val="%1.%2.%3.%4"/>
      <w:lvlJc w:val="left"/>
      <w:pPr>
        <w:tabs>
          <w:tab w:val="num" w:pos="1701"/>
        </w:tabs>
        <w:ind w:left="1701" w:hanging="1701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284"/>
        </w:tabs>
        <w:ind w:left="284" w:hanging="284"/>
      </w:pPr>
      <w:rPr>
        <w:rFonts w:ascii="Arial" w:hAnsi="Arial" w:cs="Arial" w:hint="default"/>
      </w:rPr>
    </w:lvl>
    <w:lvl w:ilvl="1">
      <w:start w:val="1"/>
      <w:numFmt w:val="russianLower"/>
      <w:lvlText w:val="%2)"/>
      <w:lvlJc w:val="left"/>
      <w:pPr>
        <w:tabs>
          <w:tab w:val="num" w:pos="1420"/>
        </w:tabs>
        <w:ind w:left="1420" w:hanging="34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134" w:hanging="425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kern w:val="0"/>
        <w:effect w:val="none"/>
        <w:iCs w:val="false"/>
        <w:em w:val="none"/>
        <w:vanish w:val="false"/>
        <w:rFonts w:ascii="Times New Roman" w:hAnsi="Times New Roman" w:cs="Times New Roman"/>
        <w:color w:val="000000"/>
        <w:lang w:val="x-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1159" w:hanging="45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kern w:val="0"/>
        <w:effect w:val="none"/>
        <w:iCs w:val="false"/>
        <w:em w:val="none"/>
        <w:vanish w:val="false"/>
        <w:rFonts w:ascii="Times New Roman" w:hAnsi="Times New Roman" w:cs="Times New Roman"/>
        <w:color w:val="000000"/>
        <w:lang w:val="x-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78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/>
        <w:kern w:val="0"/>
        <w:effect w:val="none"/>
        <w:iCs w:val="false"/>
        <w:em w:val="none"/>
        <w:vanish w:val="false"/>
        <w:rFonts w:ascii="Times New Roman" w:hAnsi="Times New Roman" w:cs="Times New Roman"/>
        <w:color w:val="000000"/>
        <w:lang w:val="x-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27" w:hanging="72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836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3185" w:hanging="108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3894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4243" w:hanging="144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4952" w:hanging="1800"/>
      </w:pPr>
      <w:rPr/>
    </w:lvl>
  </w:abstractNum>
  <w:abstractNum w:abstractNumId="6">
    <w:lvl w:ilvl="0">
      <w:start w:val="2"/>
      <w:numFmt w:val="decimal"/>
      <w:lvlText w:val="Шаг %1."/>
      <w:lvlJc w:val="left"/>
      <w:pPr>
        <w:tabs>
          <w:tab w:val="num" w:pos="0"/>
        </w:tabs>
        <w:ind w:left="851" w:hanging="851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72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720" w:hanging="0"/>
      </w:pPr>
      <w:rPr/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720" w:hanging="0"/>
      </w:pPr>
      <w:rPr/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720" w:hanging="0"/>
      </w:pPr>
      <w:rPr/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720" w:hanging="0"/>
      </w:pPr>
      <w:rPr/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720" w:hanging="0"/>
      </w:pPr>
      <w:rPr/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720" w:hanging="0"/>
      </w:pPr>
      <w:rPr/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720" w:hanging="0"/>
      </w:pPr>
      <w:rPr/>
    </w:lvl>
  </w:abstractNum>
  <w:abstractNum w:abstractNumId="7">
    <w:lvl w:ilvl="0">
      <w:start w:val="1"/>
      <w:numFmt w:val="bullet"/>
      <w:lvlText w:val=""/>
      <w:lvlJc w:val="left"/>
      <w:pPr>
        <w:tabs>
          <w:tab w:val="num" w:pos="1218"/>
        </w:tabs>
        <w:ind w:left="1218" w:hanging="368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596"/>
        </w:tabs>
        <w:ind w:left="596" w:hanging="369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"/>
      <w:lvlJc w:val="left"/>
      <w:pPr>
        <w:tabs>
          <w:tab w:val="num" w:pos="993"/>
        </w:tabs>
        <w:ind w:left="993" w:hanging="397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"/>
      <w:lvlJc w:val="left"/>
      <w:pPr>
        <w:tabs>
          <w:tab w:val="num" w:pos="1361"/>
        </w:tabs>
        <w:ind w:left="1361" w:hanging="368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"/>
      <w:lvlJc w:val="left"/>
      <w:pPr>
        <w:tabs>
          <w:tab w:val="num" w:pos="1659"/>
        </w:tabs>
        <w:ind w:left="1659" w:hanging="360"/>
      </w:pPr>
      <w:rPr>
        <w:rFonts w:ascii="Symbol" w:hAnsi="Symbol" w:cs="Symbol" w:hint="default"/>
      </w:rPr>
    </w:lvl>
    <w:lvl w:ilvl="5">
      <w:start w:val="1"/>
      <w:numFmt w:val="bullet"/>
      <w:lvlText w:val=""/>
      <w:lvlJc w:val="left"/>
      <w:pPr>
        <w:tabs>
          <w:tab w:val="num" w:pos="2019"/>
        </w:tabs>
        <w:ind w:left="20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2379"/>
        </w:tabs>
        <w:ind w:left="2379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"/>
      <w:lvlJc w:val="left"/>
      <w:pPr>
        <w:tabs>
          <w:tab w:val="num" w:pos="2739"/>
        </w:tabs>
        <w:ind w:left="2739" w:hanging="360"/>
      </w:pPr>
      <w:rPr>
        <w:rFonts w:ascii="Symbol" w:hAnsi="Symbol" w:cs="Symbol" w:hint="default"/>
      </w:rPr>
    </w:lvl>
    <w:lvl w:ilvl="8">
      <w:start w:val="1"/>
      <w:numFmt w:val="bullet"/>
      <w:lvlText w:val=""/>
      <w:lvlJc w:val="left"/>
      <w:pPr>
        <w:tabs>
          <w:tab w:val="num" w:pos="3099"/>
        </w:tabs>
        <w:ind w:left="3099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"/>
      <w:lvlJc w:val="left"/>
      <w:pPr>
        <w:tabs>
          <w:tab w:val="num" w:pos="360"/>
        </w:tabs>
        <w:ind w:left="284" w:hanging="284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644"/>
        </w:tabs>
        <w:ind w:left="567" w:hanging="283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"/>
      <w:lvlJc w:val="left"/>
      <w:pPr>
        <w:tabs>
          <w:tab w:val="num" w:pos="927"/>
        </w:tabs>
        <w:ind w:left="851" w:hanging="284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211"/>
        </w:tabs>
        <w:ind w:left="1134" w:hanging="283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"/>
      <w:lvlJc w:val="left"/>
      <w:pPr>
        <w:tabs>
          <w:tab w:val="num" w:pos="0"/>
        </w:tabs>
        <w:ind w:left="1211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1" w:hanging="360"/>
      </w:pPr>
      <w:rPr>
        <w:rFonts w:ascii="Wingdings" w:hAnsi="Wingdings" w:cs="Wingdings" w:hint="default"/>
      </w:rPr>
    </w:lvl>
  </w:abstractNum>
  <w:abstractNum w:abstractNumId="10">
    <w:lvl w:ilvl="0">
      <w:start w:val="4"/>
      <w:numFmt w:val="decimal"/>
      <w:suff w:val="space"/>
      <w:lvlText w:val="%1"/>
      <w:lvlJc w:val="left"/>
      <w:pPr>
        <w:tabs>
          <w:tab w:val="num" w:pos="0"/>
        </w:tabs>
        <w:ind w:left="0" w:firstLine="851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567" w:hanging="567"/>
      </w:pPr>
      <w:rPr/>
    </w:lvl>
    <w:lvl w:ilvl="3">
      <w:start w:val="1"/>
      <w:numFmt w:val="decimal"/>
      <w:suff w:val="space"/>
      <w:lvlText w:val="%1.2.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/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/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/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/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851"/>
      </w:pPr>
      <w:rPr/>
    </w:lvl>
  </w:abstractNum>
  <w:abstractNum w:abstractNumId="11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russianUpper"/>
      <w:suff w:val="space"/>
      <w:lvlText w:val="Приложение %1"/>
      <w:lvlJc w:val="center"/>
      <w:pPr>
        <w:tabs>
          <w:tab w:val="num" w:pos="0"/>
        </w:tabs>
        <w:ind w:left="5099" w:firstLine="288"/>
      </w:pPr>
      <w:rPr>
        <w:sz w:val="32"/>
        <w:i w:val="false"/>
        <w:b/>
        <w:rFonts w:ascii="Times New Roman" w:hAnsi="Times New Roman"/>
      </w:rPr>
    </w:lvl>
    <w:lvl w:ilvl="1">
      <w:start w:val="1"/>
      <w:numFmt w:val="decimal"/>
      <w:suff w:val="nothing"/>
      <w:lvlText w:val="%1.%2 "/>
      <w:lvlJc w:val="left"/>
      <w:pPr>
        <w:tabs>
          <w:tab w:val="num" w:pos="0"/>
        </w:tabs>
        <w:ind w:left="4249" w:hanging="0"/>
      </w:pPr>
      <w:rPr/>
    </w:lvl>
    <w:lvl w:ilvl="2">
      <w:start w:val="1"/>
      <w:numFmt w:val="decimal"/>
      <w:suff w:val="nothing"/>
      <w:lvlText w:val="%1.%2.%3 "/>
      <w:lvlJc w:val="left"/>
      <w:pPr>
        <w:tabs>
          <w:tab w:val="num" w:pos="0"/>
        </w:tabs>
        <w:ind w:left="4249" w:hanging="0"/>
      </w:pPr>
      <w:rPr/>
    </w:lvl>
    <w:lvl w:ilvl="3">
      <w:start w:val="1"/>
      <w:numFmt w:val="decimal"/>
      <w:suff w:val="nothing"/>
      <w:lvlText w:val="%1.%2.%3.%4 "/>
      <w:lvlJc w:val="left"/>
      <w:pPr>
        <w:tabs>
          <w:tab w:val="num" w:pos="0"/>
        </w:tabs>
        <w:ind w:left="4249" w:hanging="0"/>
      </w:pPr>
      <w:rPr/>
    </w:lvl>
    <w:lvl w:ilvl="4">
      <w:start w:val="1"/>
      <w:numFmt w:val="decimal"/>
      <w:suff w:val="nothing"/>
      <w:lvlText w:val="%1.%2.%3.%4.%5 "/>
      <w:lvlJc w:val="left"/>
      <w:pPr>
        <w:tabs>
          <w:tab w:val="num" w:pos="0"/>
        </w:tabs>
        <w:ind w:left="4249" w:hanging="0"/>
      </w:pPr>
      <w:rPr/>
    </w:lvl>
    <w:lvl w:ilvl="5">
      <w:start w:val="1"/>
      <w:numFmt w:val="decimal"/>
      <w:suff w:val="nothing"/>
      <w:lvlText w:val="%1.%2.%3.%4.%5.%6 "/>
      <w:lvlJc w:val="left"/>
      <w:pPr>
        <w:tabs>
          <w:tab w:val="num" w:pos="0"/>
        </w:tabs>
        <w:ind w:left="4249" w:hanging="0"/>
      </w:pPr>
      <w:rPr/>
    </w:lvl>
    <w:lvl w:ilvl="6">
      <w:start w:val="1"/>
      <w:numFmt w:val="decimal"/>
      <w:suff w:val="nothing"/>
      <w:lvlText w:val="%1.%2.%3.%4.%5.%6.%7 "/>
      <w:lvlJc w:val="left"/>
      <w:pPr>
        <w:tabs>
          <w:tab w:val="num" w:pos="0"/>
        </w:tabs>
        <w:ind w:left="4249" w:hanging="0"/>
      </w:pPr>
      <w:rPr/>
    </w:lvl>
    <w:lvl w:ilvl="7">
      <w:start w:val="1"/>
      <w:numFmt w:val="decimal"/>
      <w:lvlText w:val="Рисунок %1.%8"/>
      <w:lvlJc w:val="left"/>
      <w:pPr>
        <w:tabs>
          <w:tab w:val="num" w:pos="5779"/>
        </w:tabs>
        <w:ind w:left="3398" w:firstLine="851"/>
      </w:pPr>
      <w:rPr/>
    </w:lvl>
    <w:lvl w:ilvl="8">
      <w:start w:val="1"/>
      <w:numFmt w:val="decimal"/>
      <w:lvlText w:val="Таблица %1.%9"/>
      <w:lvlJc w:val="left"/>
      <w:pPr>
        <w:tabs>
          <w:tab w:val="num" w:pos="5779"/>
        </w:tabs>
        <w:ind w:left="3398" w:firstLine="851"/>
      </w:pPr>
      <w:rPr/>
    </w:lvl>
  </w:abstractNum>
  <w:abstractNum w:abstractNumId="14">
    <w:lvl w:ilvl="0">
      <w:start w:val="1"/>
      <w:numFmt w:val="bullet"/>
      <w:lvlText w:val="–"/>
      <w:lvlJc w:val="left"/>
      <w:pPr>
        <w:tabs>
          <w:tab w:val="num" w:pos="1191"/>
        </w:tabs>
        <w:ind w:left="0" w:firstLine="851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1644"/>
        </w:tabs>
        <w:ind w:left="0" w:firstLine="1304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"/>
      <w:lvlJc w:val="left"/>
      <w:pPr>
        <w:tabs>
          <w:tab w:val="num" w:pos="2098"/>
        </w:tabs>
        <w:ind w:left="0" w:firstLine="1758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"/>
      <w:lvlJc w:val="left"/>
      <w:pPr>
        <w:tabs>
          <w:tab w:val="num" w:pos="2552"/>
        </w:tabs>
        <w:ind w:left="0" w:firstLine="2211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1191"/>
        </w:tabs>
        <w:ind w:left="0" w:firstLine="851"/>
      </w:pPr>
      <w:rPr/>
    </w:lvl>
    <w:lvl w:ilvl="1">
      <w:start w:val="1"/>
      <w:numFmt w:val="decimal"/>
      <w:lvlText w:val="%2)"/>
      <w:lvlJc w:val="left"/>
      <w:pPr>
        <w:tabs>
          <w:tab w:val="num" w:pos="1644"/>
        </w:tabs>
        <w:ind w:left="0" w:firstLine="1304"/>
      </w:pPr>
      <w:rPr/>
    </w:lvl>
    <w:lvl w:ilvl="2">
      <w:start w:val="1"/>
      <w:numFmt w:val="decimal"/>
      <w:lvlText w:val="%3)"/>
      <w:lvlJc w:val="left"/>
      <w:pPr>
        <w:tabs>
          <w:tab w:val="num" w:pos="2098"/>
        </w:tabs>
        <w:ind w:left="0" w:firstLine="1758"/>
      </w:pPr>
      <w:rPr>
        <w:color w:val="auto"/>
      </w:rPr>
    </w:lvl>
    <w:lvl w:ilvl="3">
      <w:start w:val="1"/>
      <w:numFmt w:val="bullet"/>
      <w:lvlText w:val=""/>
      <w:lvlJc w:val="left"/>
      <w:pPr>
        <w:tabs>
          <w:tab w:val="num" w:pos="3762"/>
        </w:tabs>
        <w:ind w:left="2552" w:firstLine="850"/>
      </w:pPr>
      <w:rPr>
        <w:rFonts w:ascii="Symbol" w:hAnsi="Symbol" w:cs="Symbol" w:hint="default"/>
        <w:color w:val="auto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860" w:hanging="1009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2002" w:hanging="1151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2147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2291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2435" w:hanging="1584"/>
      </w:pPr>
      <w:rPr/>
    </w:lvl>
  </w:abstractNum>
  <w:abstractNum w:abstractNumId="17">
    <w:lvl w:ilvl="0">
      <w:start w:val="1"/>
      <w:numFmt w:val="none"/>
      <w:suff w:val="nothing"/>
      <w:lvlText w:val="Note"/>
      <w:lvlJc w:val="left"/>
      <w:pPr>
        <w:tabs>
          <w:tab w:val="num" w:pos="0"/>
        </w:tabs>
        <w:ind w:left="1080" w:hanging="108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/>
        <w:effect w:val="none"/>
        <w:vanish w:val="false"/>
        <w:rFonts w:ascii="Arial" w:hAnsi="Arial" w:cs="Arial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"/>
      <w:lvlJc w:val="left"/>
      <w:pPr>
        <w:tabs>
          <w:tab w:val="num" w:pos="0"/>
        </w:tabs>
        <w:ind w:left="1429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/>
        <w:kern w:val="0"/>
        <w:effect w:val="none"/>
        <w:iCs w:val="false"/>
        <w:bCs w:val="false"/>
        <w:em w:val="none"/>
        <w:vanish w:val="false"/>
        <w:color w:val="000000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1855" w:hanging="72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89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49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509" w:hanging="144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09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869" w:hanging="180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69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3229" w:hanging="21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abstractNum w:abstractNumId="2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26"/>
    <w:lvlOverride w:ilvl="0">
      <w:startOverride w:val="1"/>
    </w:lvlOverride>
  </w:num>
  <w:num w:numId="66">
    <w:abstractNumId w:val="2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uiPriority="99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2b055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Arial"/>
      <w:color w:val="auto"/>
      <w:kern w:val="0"/>
      <w:sz w:val="24"/>
      <w:szCs w:val="20"/>
      <w:lang w:val="ru-RU" w:eastAsia="en-US" w:bidi="ar-SA"/>
    </w:rPr>
  </w:style>
  <w:style w:type="paragraph" w:styleId="Heading1">
    <w:name w:val="heading 1"/>
    <w:basedOn w:val="Normal"/>
    <w:next w:val="Heading2"/>
    <w:qFormat/>
    <w:rsid w:val="0021288d"/>
    <w:pPr>
      <w:keepNext w:val="true"/>
      <w:pageBreakBefore/>
      <w:numPr>
        <w:ilvl w:val="0"/>
        <w:numId w:val="1"/>
      </w:numPr>
      <w:spacing w:before="240" w:after="60"/>
      <w:outlineLvl w:val="0"/>
    </w:pPr>
    <w:rPr>
      <w:rFonts w:ascii="Times New Roman" w:hAnsi="Times New Roman"/>
      <w:b/>
      <w:bCs/>
      <w:kern w:val="2"/>
      <w:sz w:val="32"/>
      <w:szCs w:val="32"/>
    </w:rPr>
  </w:style>
  <w:style w:type="paragraph" w:styleId="Heading2">
    <w:name w:val="heading 2"/>
    <w:basedOn w:val="Title"/>
    <w:next w:val="BodyText"/>
    <w:link w:val="2"/>
    <w:autoRedefine/>
    <w:qFormat/>
    <w:rsid w:val="00a2776e"/>
    <w:pPr>
      <w:keepNext w:val="true"/>
      <w:numPr>
        <w:ilvl w:val="2"/>
        <w:numId w:val="1"/>
      </w:numPr>
      <w:tabs>
        <w:tab w:val="clear" w:pos="1213"/>
        <w:tab w:val="left" w:pos="576" w:leader="none"/>
      </w:tabs>
      <w:spacing w:before="240" w:after="60"/>
      <w:ind w:hanging="0" w:left="0"/>
      <w:contextualSpacing w:val="false"/>
      <w:jc w:val="both"/>
    </w:pPr>
    <w:rPr>
      <w:b/>
      <w:bCs/>
      <w:i w:val="false"/>
      <w:iCs/>
      <w:sz w:val="28"/>
      <w:szCs w:val="28"/>
    </w:rPr>
  </w:style>
  <w:style w:type="paragraph" w:styleId="Heading3">
    <w:name w:val="heading 3"/>
    <w:basedOn w:val="Heading2"/>
    <w:next w:val="Normal"/>
    <w:link w:val="3"/>
    <w:autoRedefine/>
    <w:qFormat/>
    <w:pPr>
      <w:keepNext w:val="true"/>
      <w:widowControl/>
      <w:numPr>
        <w:ilvl w:val="2"/>
        <w:numId w:val="1"/>
      </w:numPr>
      <w:suppressAutoHyphens w:val="true"/>
      <w:bidi w:val="0"/>
      <w:spacing w:lineRule="auto" w:line="360" w:before="240" w:after="60"/>
      <w:ind w:hanging="0" w:left="0" w:right="0"/>
      <w:jc w:val="both"/>
      <w:outlineLvl w:val="2"/>
    </w:pPr>
    <w:rPr>
      <w:rFonts w:ascii="Times New Roman" w:hAnsi="Times New Roman" w:cs="Times New Roman"/>
      <w:b/>
      <w:bCs/>
      <w:sz w:val="28"/>
      <w:szCs w:val="26"/>
    </w:rPr>
  </w:style>
  <w:style w:type="paragraph" w:styleId="Heading4">
    <w:name w:val="heading 4"/>
    <w:basedOn w:val="Heading3"/>
    <w:next w:val="Heading3"/>
    <w:link w:val="4"/>
    <w:qFormat/>
    <w:rsid w:val="002b0552"/>
    <w:pPr>
      <w:numPr>
        <w:ilvl w:val="2"/>
        <w:numId w:val="10"/>
      </w:numPr>
      <w:tabs>
        <w:tab w:val="clear" w:pos="643"/>
        <w:tab w:val="left" w:pos="1213" w:leader="none"/>
      </w:tabs>
      <w:spacing w:before="240" w:after="60"/>
      <w:contextualSpacing/>
      <w:jc w:val="both"/>
      <w:outlineLvl w:val="3"/>
    </w:pPr>
    <w:rPr>
      <w:szCs w:val="24"/>
      <w:lang w:eastAsia="pl-PL"/>
    </w:rPr>
  </w:style>
  <w:style w:type="paragraph" w:styleId="Heading5">
    <w:name w:val="heading 5"/>
    <w:basedOn w:val="Normal"/>
    <w:next w:val="Normal"/>
    <w:link w:val="5"/>
    <w:qFormat/>
    <w:rsid w:val="009f70e9"/>
    <w:pPr>
      <w:keepNext w:val="true"/>
      <w:numPr>
        <w:ilvl w:val="4"/>
        <w:numId w:val="1"/>
      </w:numPr>
      <w:tabs>
        <w:tab w:val="clear" w:pos="708"/>
        <w:tab w:val="left" w:pos="1213" w:leader="none"/>
      </w:tabs>
      <w:spacing w:lineRule="auto" w:line="360" w:before="240" w:after="60"/>
      <w:contextualSpacing/>
      <w:jc w:val="both"/>
      <w:outlineLvl w:val="4"/>
    </w:pPr>
    <w:rPr>
      <w:rFonts w:ascii="Times New Roman" w:hAnsi="Times New Roman" w:cs="Times New Roman"/>
      <w:b/>
      <w:i/>
      <w:sz w:val="22"/>
      <w:szCs w:val="24"/>
      <w:lang w:eastAsia="pl-PL"/>
    </w:rPr>
  </w:style>
  <w:style w:type="paragraph" w:styleId="Heading6">
    <w:name w:val="heading 6"/>
    <w:basedOn w:val="Normal"/>
    <w:next w:val="Normal"/>
    <w:qFormat/>
    <w:rsid w:val="00a2776e"/>
    <w:pPr>
      <w:keepNext w:val="true"/>
      <w:numPr>
        <w:ilvl w:val="5"/>
        <w:numId w:val="1"/>
      </w:numPr>
      <w:jc w:val="center"/>
      <w:outlineLvl w:val="5"/>
    </w:pPr>
    <w:rPr>
      <w:rFonts w:ascii="Times New Roman" w:hAnsi="Times New Roman" w:cs="Times New Roman"/>
      <w:b/>
      <w:sz w:val="28"/>
      <w:lang w:eastAsia="pl-PL"/>
    </w:rPr>
  </w:style>
  <w:style w:type="paragraph" w:styleId="Heading7">
    <w:name w:val="heading 7"/>
    <w:basedOn w:val="Normal"/>
    <w:next w:val="Normal"/>
    <w:qFormat/>
    <w:rsid w:val="00a2776e"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paragraph" w:styleId="Heading8">
    <w:name w:val="heading 8"/>
    <w:basedOn w:val="Normal"/>
    <w:next w:val="Normal"/>
    <w:qFormat/>
    <w:rsid w:val="00a2776e"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  <w:szCs w:val="24"/>
    </w:rPr>
  </w:style>
  <w:style w:type="paragraph" w:styleId="Heading9">
    <w:name w:val="heading 9"/>
    <w:basedOn w:val="Normal"/>
    <w:next w:val="Normal"/>
    <w:qFormat/>
    <w:rsid w:val="00a2776e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5663b8"/>
    <w:rPr/>
  </w:style>
  <w:style w:type="character" w:styleId="Strong">
    <w:name w:val="Strong"/>
    <w:qFormat/>
    <w:rsid w:val="005663b8"/>
    <w:rPr>
      <w:b/>
      <w:bCs/>
    </w:rPr>
  </w:style>
  <w:style w:type="character" w:styleId="user">
    <w:name w:val="Символ сноски (user)"/>
    <w:uiPriority w:val="99"/>
    <w:qFormat/>
    <w:rsid w:val="00a2776e"/>
    <w:rPr>
      <w:vertAlign w:val="superscript"/>
    </w:rPr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99"/>
    <w:rsid w:val="00a2776e"/>
    <w:rPr>
      <w:color w:val="0000FF"/>
      <w:u w:val="single"/>
    </w:rPr>
  </w:style>
  <w:style w:type="character" w:styleId="CommentReference">
    <w:name w:val="annotation reference"/>
    <w:semiHidden/>
    <w:qFormat/>
    <w:rsid w:val="008946e4"/>
    <w:rPr>
      <w:sz w:val="16"/>
      <w:szCs w:val="16"/>
    </w:rPr>
  </w:style>
  <w:style w:type="character" w:styleId="Style6" w:customStyle="1">
    <w:name w:val="Основной текст Знак"/>
    <w:qFormat/>
    <w:rsid w:val="0096246f"/>
    <w:rPr>
      <w:rFonts w:ascii="Arial" w:hAnsi="Arial" w:cs="Arial"/>
      <w:sz w:val="24"/>
      <w:lang w:val="ru-RU" w:eastAsia="en-US" w:bidi="ar-SA"/>
    </w:rPr>
  </w:style>
  <w:style w:type="character" w:styleId="TableContentCharCharChar" w:customStyle="1">
    <w:name w:val="Table Content Char Char Char"/>
    <w:link w:val="TableContentCharChar"/>
    <w:qFormat/>
    <w:rsid w:val="00e26d2d"/>
    <w:rPr>
      <w:rFonts w:ascii="Arial" w:hAnsi="Arial" w:cs="Arial"/>
      <w:szCs w:val="17"/>
      <w:lang w:val="en-GB" w:eastAsia="en-US" w:bidi="ar-SA"/>
    </w:rPr>
  </w:style>
  <w:style w:type="character" w:styleId="TableContentChar" w:customStyle="1">
    <w:name w:val="Table Content Char"/>
    <w:link w:val="TableContent"/>
    <w:qFormat/>
    <w:rsid w:val="00e26d2d"/>
    <w:rPr>
      <w:rFonts w:ascii="Arial" w:hAnsi="Arial" w:cs="Arial"/>
      <w:szCs w:val="17"/>
      <w:lang w:val="en-GB" w:eastAsia="en-US" w:bidi="ar-SA"/>
    </w:rPr>
  </w:style>
  <w:style w:type="character" w:styleId="BankQuesChar" w:customStyle="1">
    <w:name w:val="BankQues Char"/>
    <w:link w:val="BankQues"/>
    <w:qFormat/>
    <w:rsid w:val="00bb6e5d"/>
    <w:rPr>
      <w:rFonts w:ascii="Arial" w:hAnsi="Arial" w:cs="Arial"/>
      <w:b/>
      <w:color w:val="333399"/>
      <w:sz w:val="22"/>
      <w:szCs w:val="22"/>
      <w:lang w:val="en-GB" w:eastAsia="en-US" w:bidi="ar-SA"/>
    </w:rPr>
  </w:style>
  <w:style w:type="character" w:styleId="Style7" w:customStyle="1">
    <w:name w:val="Текст примечания Знак"/>
    <w:basedOn w:val="DefaultParagraphFont"/>
    <w:semiHidden/>
    <w:qFormat/>
    <w:rsid w:val="001c546b"/>
    <w:rPr>
      <w:rFonts w:ascii="Arial" w:hAnsi="Arial" w:cs="Arial"/>
      <w:lang w:eastAsia="en-US"/>
    </w:rPr>
  </w:style>
  <w:style w:type="character" w:styleId="2" w:customStyle="1">
    <w:name w:val="Заголовок 2 Знак"/>
    <w:basedOn w:val="DefaultParagraphFont"/>
    <w:qFormat/>
    <w:rsid w:val="00c64b4d"/>
    <w:rPr>
      <w:rFonts w:ascii="Arial" w:hAnsi="Arial" w:cs="Arial"/>
      <w:b/>
      <w:bCs/>
      <w:i/>
      <w:iCs/>
      <w:sz w:val="28"/>
      <w:szCs w:val="28"/>
      <w:lang w:eastAsia="en-US"/>
    </w:rPr>
  </w:style>
  <w:style w:type="character" w:styleId="Style8" w:customStyle="1">
    <w:name w:val="Нижний колонтитул Знак"/>
    <w:basedOn w:val="DefaultParagraphFont"/>
    <w:uiPriority w:val="99"/>
    <w:qFormat/>
    <w:rsid w:val="00391c69"/>
    <w:rPr>
      <w:rFonts w:ascii="Arial" w:hAnsi="Arial" w:cs="Arial"/>
      <w:lang w:eastAsia="en-US"/>
    </w:rPr>
  </w:style>
  <w:style w:type="character" w:styleId="Style9" w:customStyle="1">
    <w:name w:val="ГС_Основной_текст Знак"/>
    <w:link w:val="Style30"/>
    <w:qFormat/>
    <w:rsid w:val="00391c69"/>
    <w:rPr>
      <w:sz w:val="24"/>
      <w:szCs w:val="24"/>
    </w:rPr>
  </w:style>
  <w:style w:type="character" w:styleId="Style10" w:customStyle="1">
    <w:name w:val="Абзац списка Знак"/>
    <w:basedOn w:val="DefaultParagraphFont"/>
    <w:link w:val="ListParagraph"/>
    <w:uiPriority w:val="34"/>
    <w:qFormat/>
    <w:rsid w:val="00f07ea1"/>
    <w:rPr>
      <w:rFonts w:ascii="Arial" w:hAnsi="Arial" w:cs="Arial"/>
      <w:lang w:eastAsia="en-US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354155"/>
    <w:rPr>
      <w:rFonts w:ascii="Arial" w:hAnsi="Arial" w:cs="Arial"/>
      <w:lang w:eastAsia="en-US"/>
    </w:rPr>
  </w:style>
  <w:style w:type="character" w:styleId="11" w:customStyle="1">
    <w:name w:val="Таблица_текст_11 Знак"/>
    <w:link w:val="111"/>
    <w:qFormat/>
    <w:rsid w:val="0055453c"/>
    <w:rPr>
      <w:rFonts w:ascii="Arial" w:hAnsi="Arial"/>
    </w:rPr>
  </w:style>
  <w:style w:type="character" w:styleId="Style12" w:customStyle="1">
    <w:name w:val="Таблица_команды"/>
    <w:qFormat/>
    <w:rsid w:val="0055453c"/>
    <w:rPr>
      <w:rFonts w:ascii="Courier New" w:hAnsi="Courier New"/>
      <w:sz w:val="22"/>
    </w:rPr>
  </w:style>
  <w:style w:type="character" w:styleId="HTMLCode">
    <w:name w:val="HTML Code"/>
    <w:basedOn w:val="DefaultParagraphFont"/>
    <w:uiPriority w:val="99"/>
    <w:semiHidden/>
    <w:unhideWhenUsed/>
    <w:qFormat/>
    <w:rsid w:val="004018a2"/>
    <w:rPr>
      <w:rFonts w:ascii="Courier New" w:hAnsi="Courier New" w:eastAsia="Times New Roman" w:cs="Courier New"/>
      <w:sz w:val="20"/>
      <w:szCs w:val="20"/>
    </w:rPr>
  </w:style>
  <w:style w:type="character" w:styleId="3" w:customStyle="1">
    <w:name w:val="Заголовок 3 Знак"/>
    <w:uiPriority w:val="9"/>
    <w:qFormat/>
    <w:rsid w:val="00b06d24"/>
    <w:rPr>
      <w:b/>
      <w:bCs/>
      <w:sz w:val="24"/>
      <w:szCs w:val="26"/>
      <w:lang w:eastAsia="en-US"/>
    </w:rPr>
  </w:style>
  <w:style w:type="character" w:styleId="Style13" w:customStyle="1">
    <w:name w:val="ГС_Список_МаркОтст Знак"/>
    <w:link w:val="Style32"/>
    <w:qFormat/>
    <w:locked/>
    <w:rsid w:val="000a5f3f"/>
    <w:rPr>
      <w:sz w:val="24"/>
    </w:rPr>
  </w:style>
  <w:style w:type="character" w:styleId="Style14" w:customStyle="1">
    <w:name w:val="ГС_МелкийТекст Знак"/>
    <w:link w:val="Style34"/>
    <w:qFormat/>
    <w:locked/>
    <w:rsid w:val="000a5f3f"/>
    <w:rPr/>
  </w:style>
  <w:style w:type="character" w:styleId="Style15" w:customStyle="1">
    <w:name w:val="ГС_НазвСтолбца Знак"/>
    <w:link w:val="Style35"/>
    <w:qFormat/>
    <w:rsid w:val="000a5f3f"/>
    <w:rPr>
      <w:b/>
      <w:bCs/>
    </w:rPr>
  </w:style>
  <w:style w:type="character" w:styleId="HTML" w:customStyle="1">
    <w:name w:val="Адрес HTML Знак"/>
    <w:basedOn w:val="DefaultParagraphFont"/>
    <w:link w:val="HTMLAddress"/>
    <w:qFormat/>
    <w:rsid w:val="000a5f3f"/>
    <w:rPr>
      <w:i/>
      <w:iCs/>
      <w:kern w:val="2"/>
      <w:sz w:val="24"/>
      <w:szCs w:val="24"/>
    </w:rPr>
  </w:style>
  <w:style w:type="character" w:styleId="21" w:customStyle="1">
    <w:name w:val="Нумерованный_текст_уровень_2 Знак"/>
    <w:link w:val="23"/>
    <w:qFormat/>
    <w:rsid w:val="000a5f3f"/>
    <w:rPr>
      <w:kern w:val="2"/>
      <w:sz w:val="24"/>
      <w:szCs w:val="28"/>
    </w:rPr>
  </w:style>
  <w:style w:type="character" w:styleId="Style16" w:customStyle="1">
    <w:name w:val="Текст сноски Знак"/>
    <w:basedOn w:val="DefaultParagraphFont"/>
    <w:uiPriority w:val="99"/>
    <w:qFormat/>
    <w:rsid w:val="000a5f3f"/>
    <w:rPr>
      <w:rFonts w:ascii="Arial" w:hAnsi="Arial" w:cs="Arial"/>
      <w:lang w:eastAsia="en-US"/>
    </w:rPr>
  </w:style>
  <w:style w:type="character" w:styleId="Emphasis">
    <w:name w:val="Emphasis"/>
    <w:qFormat/>
    <w:rsid w:val="000a5f3f"/>
    <w:rPr/>
  </w:style>
  <w:style w:type="character" w:styleId="Style17" w:customStyle="1">
    <w:name w:val="Простой Знак"/>
    <w:basedOn w:val="DefaultParagraphFont"/>
    <w:link w:val="Style37"/>
    <w:qFormat/>
    <w:rsid w:val="000a5f3f"/>
    <w:rPr>
      <w:kern w:val="2"/>
      <w:sz w:val="24"/>
      <w:szCs w:val="28"/>
    </w:rPr>
  </w:style>
  <w:style w:type="character" w:styleId="4" w:customStyle="1">
    <w:name w:val="Заголовок 4 Знак"/>
    <w:basedOn w:val="3"/>
    <w:qFormat/>
    <w:rsid w:val="002b0552"/>
    <w:rPr>
      <w:b/>
      <w:bCs/>
      <w:sz w:val="24"/>
      <w:szCs w:val="24"/>
      <w:lang w:eastAsia="pl-PL"/>
    </w:rPr>
  </w:style>
  <w:style w:type="character" w:styleId="5" w:customStyle="1">
    <w:name w:val="Заголовок 5 Знак"/>
    <w:basedOn w:val="4"/>
    <w:qFormat/>
    <w:rsid w:val="009f70e9"/>
    <w:rPr>
      <w:b/>
      <w:bCs w:val="false"/>
      <w:i/>
      <w:sz w:val="22"/>
      <w:szCs w:val="24"/>
      <w:lang w:eastAsia="pl-PL"/>
    </w:rPr>
  </w:style>
  <w:style w:type="character" w:styleId="41" w:customStyle="1">
    <w:name w:val="Заголовок4 Знак"/>
    <w:basedOn w:val="5"/>
    <w:link w:val="42"/>
    <w:qFormat/>
    <w:rsid w:val="000b3747"/>
    <w:rPr>
      <w:b/>
      <w:bCs w:val="false"/>
      <w:i/>
      <w:sz w:val="24"/>
      <w:szCs w:val="24"/>
      <w:lang w:eastAsia="pl-PL"/>
    </w:rPr>
  </w:style>
  <w:style w:type="character" w:styleId="Style18" w:customStyle="1">
    <w:name w:val="Текст_бюл Знак"/>
    <w:basedOn w:val="DefaultParagraphFont"/>
    <w:link w:val="Style38"/>
    <w:qFormat/>
    <w:locked/>
    <w:rsid w:val="000a5f3f"/>
    <w:rPr>
      <w:rFonts w:eastAsia="MS Mincho"/>
      <w:sz w:val="26"/>
      <w:szCs w:val="24"/>
    </w:rPr>
  </w:style>
  <w:style w:type="character" w:styleId="Style19" w:customStyle="1">
    <w:name w:val="Текст Знак"/>
    <w:basedOn w:val="DefaultParagraphFont"/>
    <w:link w:val="PlainText"/>
    <w:semiHidden/>
    <w:qFormat/>
    <w:rsid w:val="000a5f3f"/>
    <w:rPr>
      <w:rFonts w:ascii="Consolas" w:hAnsi="Consolas"/>
      <w:kern w:val="2"/>
      <w:sz w:val="21"/>
      <w:szCs w:val="21"/>
    </w:rPr>
  </w:style>
  <w:style w:type="character" w:styleId="Style20" w:customStyle="1">
    <w:name w:val="Основной текст с отступом Знак"/>
    <w:basedOn w:val="DefaultParagraphFont"/>
    <w:qFormat/>
    <w:rsid w:val="002b0552"/>
    <w:rPr>
      <w:rFonts w:ascii="Arial" w:hAnsi="Arial" w:cs="Arial"/>
      <w:lang w:eastAsia="en-US"/>
    </w:rPr>
  </w:style>
  <w:style w:type="character" w:styleId="HTML1" w:customStyle="1">
    <w:name w:val="Стандартный HTML Знак"/>
    <w:basedOn w:val="DefaultParagraphFont"/>
    <w:link w:val="HTMLPreformatted"/>
    <w:qFormat/>
    <w:rsid w:val="00286e31"/>
    <w:rPr>
      <w:rFonts w:ascii="Arial Unicode MS" w:hAnsi="Arial Unicode MS" w:eastAsia="Arial Unicode MS" w:cs="Arial Unicode MS"/>
      <w:color w:val="000000"/>
      <w:lang w:eastAsia="en-US"/>
    </w:rPr>
  </w:style>
  <w:style w:type="character" w:styleId="Style21" w:customStyle="1">
    <w:name w:val="Название объекта Знак"/>
    <w:basedOn w:val="DefaultParagraphFont"/>
    <w:qFormat/>
    <w:locked/>
    <w:rsid w:val="006727ad"/>
    <w:rPr>
      <w:rFonts w:ascii="Arial" w:hAnsi="Arial" w:cs="Arial"/>
      <w:b/>
      <w:bCs/>
      <w:lang w:eastAsia="en-US"/>
    </w:rPr>
  </w:style>
  <w:style w:type="character" w:styleId="Style22" w:customStyle="1">
    <w:name w:val="Основной Знак"/>
    <w:link w:val="Style40"/>
    <w:qFormat/>
    <w:locked/>
    <w:rsid w:val="000d7828"/>
    <w:rPr>
      <w:rFonts w:ascii="Courier New" w:hAnsi="Courier New"/>
      <w:sz w:val="22"/>
      <w:lang w:eastAsia="en-US"/>
    </w:rPr>
  </w:style>
  <w:style w:type="character" w:styleId="common" w:customStyle="1">
    <w:name w:val="_common Знак"/>
    <w:link w:val="common1"/>
    <w:qFormat/>
    <w:rsid w:val="00fe686c"/>
    <w:rPr>
      <w:rFonts w:cs="Arial"/>
      <w:sz w:val="24"/>
    </w:rPr>
  </w:style>
  <w:style w:type="character" w:styleId="tlid-translation" w:customStyle="1">
    <w:name w:val="tlid-translation"/>
    <w:basedOn w:val="DefaultParagraphFont"/>
    <w:qFormat/>
    <w:rsid w:val="000242a8"/>
    <w:rPr/>
  </w:style>
  <w:style w:type="character" w:styleId="fontstyle01" w:customStyle="1">
    <w:name w:val="fontstyle01"/>
    <w:basedOn w:val="DefaultParagraphFont"/>
    <w:qFormat/>
    <w:rsid w:val="000e19f6"/>
    <w:rPr>
      <w:rFonts w:ascii="TimesNewRomanPSMT" w:hAnsi="TimesNewRomanPSMT"/>
      <w:b w:val="false"/>
      <w:bCs w:val="false"/>
      <w:i w:val="false"/>
      <w:iCs w:val="false"/>
      <w:color w:val="000000"/>
      <w:sz w:val="20"/>
      <w:szCs w:val="20"/>
    </w:rPr>
  </w:style>
  <w:style w:type="character" w:styleId="12345" w:customStyle="1">
    <w:name w:val="12345 Знак"/>
    <w:basedOn w:val="DefaultParagraphFont"/>
    <w:link w:val="123451"/>
    <w:qFormat/>
    <w:rsid w:val="0068208a"/>
    <w:rPr>
      <w:rFonts w:cs="Arial"/>
      <w:b/>
      <w:bCs/>
      <w:iCs/>
      <w:sz w:val="28"/>
      <w:szCs w:val="28"/>
    </w:rPr>
  </w:style>
  <w:style w:type="character" w:styleId="user1">
    <w:name w:val="Ссылка указателя (user)"/>
    <w:qFormat/>
    <w:rPr/>
  </w:style>
  <w:style w:type="character" w:styleId="Style23">
    <w:name w:val="Символ концевой сноски"/>
    <w:qFormat/>
    <w:rPr>
      <w:vertAlign w:val="superscript"/>
    </w:rPr>
  </w:style>
  <w:style w:type="character" w:styleId="user2">
    <w:name w:val="Символ концевой сноски (user)"/>
    <w:qFormat/>
    <w:rPr/>
  </w:style>
  <w:style w:type="character" w:styleId="EndnoteReference">
    <w:name w:val="endnote reference"/>
    <w:rPr>
      <w:vertAlign w:val="superscript"/>
    </w:rPr>
  </w:style>
  <w:style w:type="character" w:styleId="Style24">
    <w:name w:val="Ссылка указателя"/>
    <w:qFormat/>
    <w:rPr/>
  </w:style>
  <w:style w:type="character" w:styleId="Style25">
    <w:name w:val="Маркеры"/>
    <w:qFormat/>
    <w:rPr>
      <w:rFonts w:ascii="OpenSymbol" w:hAnsi="OpenSymbol" w:eastAsia="OpenSymbol" w:cs="OpenSymbol"/>
    </w:rPr>
  </w:style>
  <w:style w:type="character" w:styleId="Style26">
    <w:name w:val="Символ нумерации"/>
    <w:qFormat/>
    <w:rPr>
      <w:rFonts w:ascii="Times New Roman" w:hAnsi="Times New Roman"/>
    </w:rPr>
  </w:style>
  <w:style w:type="paragraph" w:styleId="Style2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link w:val="Style6"/>
    <w:rsid w:val="005663b8"/>
    <w:pPr>
      <w:spacing w:before="0" w:after="120"/>
      <w:ind w:firstLine="5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21"/>
    <w:qFormat/>
    <w:rsid w:val="00534765"/>
    <w:pPr>
      <w:jc w:val="center"/>
    </w:pPr>
    <w:rPr>
      <w:rFonts w:ascii="Times New Roman" w:hAnsi="Times New Roman"/>
      <w:b w:val="false"/>
      <w:bCs/>
      <w:sz w:val="24"/>
    </w:rPr>
  </w:style>
  <w:style w:type="paragraph" w:styleId="Style28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rsid w:val="001f79f1"/>
    <w:pPr>
      <w:keepNext w:val="true"/>
      <w:numPr>
        <w:ilvl w:val="1"/>
        <w:numId w:val="1"/>
      </w:numPr>
      <w:tabs>
        <w:tab w:val="clear" w:pos="708"/>
        <w:tab w:val="left" w:pos="1213" w:leader="none"/>
      </w:tabs>
      <w:spacing w:lineRule="auto" w:line="360" w:before="240" w:after="60"/>
      <w:contextualSpacing/>
      <w:jc w:val="both"/>
      <w:outlineLvl w:val="1"/>
    </w:pPr>
    <w:rPr>
      <w:rFonts w:ascii="Times New Roman" w:hAnsi="Times New Roman" w:cs="Times New Roman"/>
      <w:b/>
      <w:bCs/>
      <w:kern w:val="2"/>
      <w:sz w:val="28"/>
      <w:szCs w:val="32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rsid w:val="005663b8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8"/>
    <w:uiPriority w:val="99"/>
    <w:rsid w:val="005663b8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Indent">
    <w:name w:val="Body Text Indent"/>
    <w:basedOn w:val="Normal"/>
    <w:link w:val="Style20"/>
    <w:rsid w:val="00a2776e"/>
    <w:pPr>
      <w:spacing w:before="0" w:after="120"/>
      <w:ind w:left="283"/>
    </w:pPr>
    <w:rPr/>
  </w:style>
  <w:style w:type="paragraph" w:styleId="FootnoteText">
    <w:name w:val="footnote text"/>
    <w:basedOn w:val="Normal"/>
    <w:link w:val="Style16"/>
    <w:uiPriority w:val="99"/>
    <w:rsid w:val="00a2776e"/>
    <w:pPr/>
    <w:rPr/>
  </w:style>
  <w:style w:type="paragraph" w:styleId="TOC2">
    <w:name w:val="toc 2"/>
    <w:basedOn w:val="Normal"/>
    <w:next w:val="Normal"/>
    <w:autoRedefine/>
    <w:uiPriority w:val="39"/>
    <w:rsid w:val="002b0552"/>
    <w:pPr>
      <w:tabs>
        <w:tab w:val="clear" w:pos="708"/>
        <w:tab w:val="left" w:pos="880" w:leader="none"/>
        <w:tab w:val="right" w:pos="9355" w:leader="dot"/>
      </w:tabs>
      <w:ind w:left="240"/>
    </w:pPr>
    <w:rPr>
      <w:rFonts w:ascii="Times New Roman" w:hAnsi="Times New Roman"/>
      <w:sz w:val="24"/>
    </w:rPr>
  </w:style>
  <w:style w:type="paragraph" w:styleId="TOC1">
    <w:name w:val="toc 1"/>
    <w:basedOn w:val="Normal"/>
    <w:next w:val="Normal"/>
    <w:autoRedefine/>
    <w:uiPriority w:val="39"/>
    <w:rsid w:val="008a5159"/>
    <w:pPr>
      <w:tabs>
        <w:tab w:val="clear" w:pos="708"/>
        <w:tab w:val="left" w:pos="480" w:leader="none"/>
        <w:tab w:val="right" w:pos="9355" w:leader="dot"/>
      </w:tabs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uiPriority w:val="39"/>
    <w:rsid w:val="00405c9c"/>
    <w:pPr>
      <w:ind w:left="480"/>
    </w:pPr>
    <w:rPr>
      <w:rFonts w:ascii="Times New Roman" w:hAnsi="Times New Roman"/>
    </w:rPr>
  </w:style>
  <w:style w:type="paragraph" w:styleId="CommentText">
    <w:name w:val="annotation text"/>
    <w:basedOn w:val="Normal"/>
    <w:link w:val="Style7"/>
    <w:semiHidden/>
    <w:rsid w:val="008946e4"/>
    <w:pPr/>
    <w:rPr/>
  </w:style>
  <w:style w:type="paragraph" w:styleId="annotationsubject">
    <w:name w:val="annotation subject"/>
    <w:basedOn w:val="CommentText"/>
    <w:next w:val="CommentText"/>
    <w:semiHidden/>
    <w:qFormat/>
    <w:rsid w:val="008946e4"/>
    <w:pPr/>
    <w:rPr>
      <w:b/>
      <w:bCs/>
    </w:rPr>
  </w:style>
  <w:style w:type="paragraph" w:styleId="BalloonText">
    <w:name w:val="Balloon Text"/>
    <w:basedOn w:val="Normal"/>
    <w:semiHidden/>
    <w:qFormat/>
    <w:rsid w:val="008946e4"/>
    <w:pPr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rsid w:val="00052f44"/>
    <w:pPr>
      <w:numPr>
        <w:ilvl w:val="0"/>
        <w:numId w:val="2"/>
      </w:numPr>
    </w:pPr>
    <w:rPr/>
  </w:style>
  <w:style w:type="paragraph" w:styleId="Commentaries" w:customStyle="1">
    <w:name w:val="Commentaries"/>
    <w:basedOn w:val="Normal"/>
    <w:autoRedefine/>
    <w:qFormat/>
    <w:rsid w:val="00a055d0"/>
    <w:pPr/>
    <w:rPr>
      <w:i/>
      <w:color w:val="000000"/>
      <w:lang w:val="en-US"/>
    </w:rPr>
  </w:style>
  <w:style w:type="paragraph" w:styleId="CM60" w:customStyle="1">
    <w:name w:val="CM60"/>
    <w:basedOn w:val="Normal"/>
    <w:next w:val="Normal"/>
    <w:qFormat/>
    <w:rsid w:val="006d7a15"/>
    <w:pPr>
      <w:spacing w:before="0" w:after="270"/>
    </w:pPr>
    <w:rPr>
      <w:rFonts w:ascii="Times New Roman" w:hAnsi="Times New Roman" w:cs="Times New Roman"/>
      <w:szCs w:val="24"/>
      <w:lang w:eastAsia="ru-RU"/>
    </w:rPr>
  </w:style>
  <w:style w:type="paragraph" w:styleId="TableContentCharChar" w:customStyle="1">
    <w:name w:val="Table Content Char Char"/>
    <w:basedOn w:val="Normal"/>
    <w:link w:val="TableContentCharCharChar"/>
    <w:qFormat/>
    <w:rsid w:val="00e26d2d"/>
    <w:pPr>
      <w:spacing w:before="60" w:after="60"/>
    </w:pPr>
    <w:rPr>
      <w:szCs w:val="17"/>
      <w:lang w:val="en-GB"/>
    </w:rPr>
  </w:style>
  <w:style w:type="paragraph" w:styleId="TableContent" w:customStyle="1">
    <w:name w:val="Table Content"/>
    <w:basedOn w:val="Normal"/>
    <w:link w:val="TableContentChar"/>
    <w:qFormat/>
    <w:rsid w:val="00e26d2d"/>
    <w:pPr>
      <w:spacing w:before="60" w:after="60"/>
    </w:pPr>
    <w:rPr>
      <w:szCs w:val="17"/>
      <w:lang w:val="en-GB"/>
    </w:rPr>
  </w:style>
  <w:style w:type="paragraph" w:styleId="BankQues" w:customStyle="1">
    <w:name w:val="BankQues"/>
    <w:basedOn w:val="Normal"/>
    <w:link w:val="BankQuesChar"/>
    <w:qFormat/>
    <w:rsid w:val="00bb6e5d"/>
    <w:pPr/>
    <w:rPr>
      <w:b/>
      <w:color w:val="333399"/>
      <w:sz w:val="22"/>
      <w:szCs w:val="22"/>
      <w:lang w:val="en-GB"/>
    </w:rPr>
  </w:style>
  <w:style w:type="paragraph" w:styleId="AppendixHeading3" w:customStyle="1">
    <w:name w:val="Appendix Heading 3"/>
    <w:basedOn w:val="AppendixHeading2"/>
    <w:next w:val="Normal"/>
    <w:qFormat/>
    <w:rsid w:val="002e17ac"/>
    <w:pPr>
      <w:spacing w:before="0" w:after="180"/>
    </w:pPr>
    <w:rPr>
      <w:sz w:val="21"/>
      <w:szCs w:val="21"/>
    </w:rPr>
  </w:style>
  <w:style w:type="paragraph" w:styleId="AppendixHeading2" w:customStyle="1">
    <w:name w:val="Appendix Heading 2"/>
    <w:basedOn w:val="AppendixHeading1"/>
    <w:next w:val="Normal"/>
    <w:qFormat/>
    <w:rsid w:val="002e17ac"/>
    <w:pPr>
      <w:keepNext w:val="true"/>
      <w:pageBreakBefore w:val="false"/>
    </w:pPr>
    <w:rPr>
      <w:b/>
      <w:caps w:val="false"/>
      <w:smallCaps w:val="false"/>
      <w:sz w:val="23"/>
      <w:szCs w:val="23"/>
    </w:rPr>
  </w:style>
  <w:style w:type="paragraph" w:styleId="AppendixHeading4" w:customStyle="1">
    <w:name w:val="Appendix Heading 4"/>
    <w:basedOn w:val="AppendixHeading3"/>
    <w:next w:val="Normal"/>
    <w:qFormat/>
    <w:rsid w:val="002e17ac"/>
    <w:pPr>
      <w:spacing w:before="0" w:after="0"/>
    </w:pPr>
    <w:rPr>
      <w:b w:val="false"/>
    </w:rPr>
  </w:style>
  <w:style w:type="paragraph" w:styleId="AppendixHeading1" w:customStyle="1">
    <w:name w:val="Appendix Heading 1"/>
    <w:basedOn w:val="Heading1"/>
    <w:next w:val="Normal"/>
    <w:qFormat/>
    <w:rsid w:val="002e17ac"/>
    <w:pPr>
      <w:keepNext w:val="false"/>
      <w:numPr>
        <w:ilvl w:val="0"/>
        <w:numId w:val="3"/>
      </w:numPr>
      <w:suppressAutoHyphens w:val="true"/>
      <w:spacing w:before="40" w:after="300"/>
    </w:pPr>
    <w:rPr>
      <w:b w:val="false"/>
      <w:caps/>
      <w:color w:val="017CC2"/>
      <w:kern w:val="0"/>
      <w:sz w:val="30"/>
      <w:szCs w:val="30"/>
      <w:lang w:val="en-GB"/>
    </w:rPr>
  </w:style>
  <w:style w:type="paragraph" w:styleId="TableHeader" w:customStyle="1">
    <w:name w:val="Table Header"/>
    <w:basedOn w:val="Normal"/>
    <w:qFormat/>
    <w:rsid w:val="00b31c20"/>
    <w:pPr>
      <w:keepNext w:val="true"/>
      <w:jc w:val="center"/>
    </w:pPr>
    <w:rPr>
      <w:rFonts w:ascii="Garamond" w:hAnsi="Garamond" w:cs="Times New Roman"/>
      <w:b/>
      <w:bCs/>
      <w:sz w:val="24"/>
    </w:rPr>
  </w:style>
  <w:style w:type="paragraph" w:styleId="TableText" w:customStyle="1">
    <w:name w:val="Table Text"/>
    <w:basedOn w:val="Normal"/>
    <w:qFormat/>
    <w:rsid w:val="00b31c20"/>
    <w:pPr>
      <w:keepNext w:val="true"/>
      <w:jc w:val="both"/>
    </w:pPr>
    <w:rPr>
      <w:rFonts w:ascii="Garamond" w:hAnsi="Garamond" w:cs="Times New Roman"/>
      <w:sz w:val="24"/>
    </w:rPr>
  </w:style>
  <w:style w:type="paragraph" w:styleId="Index1">
    <w:name w:val="index 1"/>
    <w:basedOn w:val="Normal"/>
    <w:next w:val="Normal"/>
    <w:autoRedefine/>
    <w:rsid w:val="00da26a8"/>
    <w:pPr>
      <w:ind w:hanging="200" w:left="200"/>
    </w:pPr>
    <w:rPr>
      <w:rFonts w:ascii="Calibri" w:hAnsi="Calibri"/>
      <w:sz w:val="18"/>
      <w:szCs w:val="18"/>
    </w:rPr>
  </w:style>
  <w:style w:type="paragraph" w:styleId="Index2">
    <w:name w:val="index 2"/>
    <w:basedOn w:val="Normal"/>
    <w:next w:val="Normal"/>
    <w:autoRedefine/>
    <w:rsid w:val="00da26a8"/>
    <w:pPr>
      <w:ind w:hanging="200" w:left="400"/>
    </w:pPr>
    <w:rPr>
      <w:rFonts w:ascii="Calibri" w:hAnsi="Calibri"/>
      <w:sz w:val="18"/>
      <w:szCs w:val="18"/>
    </w:rPr>
  </w:style>
  <w:style w:type="paragraph" w:styleId="Index3">
    <w:name w:val="index 3"/>
    <w:basedOn w:val="Normal"/>
    <w:next w:val="Normal"/>
    <w:autoRedefine/>
    <w:rsid w:val="00da26a8"/>
    <w:pPr>
      <w:ind w:hanging="200" w:left="600"/>
    </w:pPr>
    <w:rPr>
      <w:rFonts w:ascii="Calibri" w:hAnsi="Calibri"/>
      <w:sz w:val="18"/>
      <w:szCs w:val="18"/>
    </w:rPr>
  </w:style>
  <w:style w:type="paragraph" w:styleId="Index4">
    <w:name w:val="index 4"/>
    <w:basedOn w:val="Normal"/>
    <w:next w:val="Normal"/>
    <w:autoRedefine/>
    <w:qFormat/>
    <w:rsid w:val="00da26a8"/>
    <w:pPr>
      <w:ind w:hanging="200" w:left="800"/>
    </w:pPr>
    <w:rPr>
      <w:rFonts w:ascii="Calibri" w:hAnsi="Calibri"/>
      <w:sz w:val="18"/>
      <w:szCs w:val="18"/>
    </w:rPr>
  </w:style>
  <w:style w:type="paragraph" w:styleId="Index5">
    <w:name w:val="index 5"/>
    <w:basedOn w:val="Normal"/>
    <w:next w:val="Normal"/>
    <w:autoRedefine/>
    <w:qFormat/>
    <w:rsid w:val="00da26a8"/>
    <w:pPr>
      <w:ind w:hanging="200" w:left="1000"/>
    </w:pPr>
    <w:rPr>
      <w:rFonts w:ascii="Calibri" w:hAnsi="Calibri"/>
      <w:sz w:val="18"/>
      <w:szCs w:val="18"/>
    </w:rPr>
  </w:style>
  <w:style w:type="paragraph" w:styleId="Index6">
    <w:name w:val="index 6"/>
    <w:basedOn w:val="Normal"/>
    <w:next w:val="Normal"/>
    <w:autoRedefine/>
    <w:qFormat/>
    <w:rsid w:val="00da26a8"/>
    <w:pPr>
      <w:ind w:hanging="200" w:left="1200"/>
    </w:pPr>
    <w:rPr>
      <w:rFonts w:ascii="Calibri" w:hAnsi="Calibri"/>
      <w:sz w:val="18"/>
      <w:szCs w:val="18"/>
    </w:rPr>
  </w:style>
  <w:style w:type="paragraph" w:styleId="Index7">
    <w:name w:val="index 7"/>
    <w:basedOn w:val="Normal"/>
    <w:next w:val="Normal"/>
    <w:autoRedefine/>
    <w:qFormat/>
    <w:rsid w:val="00da26a8"/>
    <w:pPr>
      <w:ind w:hanging="200" w:left="1400"/>
    </w:pPr>
    <w:rPr>
      <w:rFonts w:ascii="Calibri" w:hAnsi="Calibri"/>
      <w:sz w:val="18"/>
      <w:szCs w:val="18"/>
    </w:rPr>
  </w:style>
  <w:style w:type="paragraph" w:styleId="Index8">
    <w:name w:val="index 8"/>
    <w:basedOn w:val="Normal"/>
    <w:next w:val="Normal"/>
    <w:autoRedefine/>
    <w:qFormat/>
    <w:rsid w:val="00da26a8"/>
    <w:pPr>
      <w:ind w:hanging="200" w:left="1600"/>
    </w:pPr>
    <w:rPr>
      <w:rFonts w:ascii="Calibri" w:hAnsi="Calibri"/>
      <w:sz w:val="18"/>
      <w:szCs w:val="18"/>
    </w:rPr>
  </w:style>
  <w:style w:type="paragraph" w:styleId="Index9">
    <w:name w:val="index 9"/>
    <w:basedOn w:val="Normal"/>
    <w:next w:val="Normal"/>
    <w:autoRedefine/>
    <w:qFormat/>
    <w:rsid w:val="00da26a8"/>
    <w:pPr>
      <w:ind w:hanging="200" w:left="1800"/>
    </w:pPr>
    <w:rPr>
      <w:rFonts w:ascii="Calibri" w:hAnsi="Calibri"/>
      <w:sz w:val="18"/>
      <w:szCs w:val="18"/>
    </w:rPr>
  </w:style>
  <w:style w:type="paragraph" w:styleId="IndexHeading">
    <w:name w:val="index heading"/>
    <w:basedOn w:val="Normal"/>
    <w:next w:val="Index1"/>
    <w:rsid w:val="00da26a8"/>
    <w:pPr>
      <w:spacing w:before="240" w:after="120"/>
      <w:jc w:val="center"/>
    </w:pPr>
    <w:rPr>
      <w:rFonts w:ascii="Calibri" w:hAnsi="Calibri"/>
      <w:b/>
      <w:bCs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da26a8"/>
    <w:pPr>
      <w:keepLines/>
      <w:pageBreakBefore w:val="false"/>
      <w:numPr>
        <w:ilvl w:val="0"/>
        <w:numId w:val="0"/>
      </w:numPr>
      <w:spacing w:lineRule="auto" w:line="276" w:before="480" w:after="0"/>
      <w:jc w:val="center"/>
      <w:outlineLvl w:val="9"/>
    </w:pPr>
    <w:rPr>
      <w:rFonts w:ascii="Times New Roman" w:hAnsi="Times New Roman" w:cs="Times New Roman"/>
      <w:color w:val="000000"/>
      <w:kern w:val="0"/>
      <w:sz w:val="28"/>
      <w:szCs w:val="28"/>
      <w:lang w:eastAsia="ru-RU"/>
    </w:rPr>
  </w:style>
  <w:style w:type="paragraph" w:styleId="0" w:customStyle="1">
    <w:name w:val="_Текст0_ПереченьТерминов"/>
    <w:qFormat/>
    <w:rsid w:val="00ff27aa"/>
    <w:pPr>
      <w:widowControl/>
      <w:suppressAutoHyphens w:val="true"/>
      <w:bidi w:val="0"/>
      <w:spacing w:before="20" w:after="220"/>
      <w:jc w:val="both"/>
    </w:pPr>
    <w:rPr>
      <w:rFonts w:ascii="Arial" w:hAnsi="Arial" w:eastAsia="Times New Roman" w:cs="Arial"/>
      <w:color w:val="auto"/>
      <w:kern w:val="0"/>
      <w:sz w:val="24"/>
      <w:szCs w:val="24"/>
      <w:lang w:val="ru-RU" w:eastAsia="ru-RU" w:bidi="ar-SA"/>
    </w:rPr>
  </w:style>
  <w:style w:type="paragraph" w:styleId="03" w:customStyle="1">
    <w:name w:val="_Текст0_Список 3 уровня"/>
    <w:basedOn w:val="Normal"/>
    <w:qFormat/>
    <w:rsid w:val="00ff27aa"/>
    <w:pPr>
      <w:tabs>
        <w:tab w:val="clear" w:pos="708"/>
        <w:tab w:val="left" w:pos="1701" w:leader="none"/>
        <w:tab w:val="left" w:pos="2268" w:leader="none"/>
      </w:tabs>
      <w:ind w:hanging="284" w:left="2268"/>
      <w:jc w:val="both"/>
    </w:pPr>
    <w:rPr>
      <w:sz w:val="24"/>
      <w:szCs w:val="24"/>
      <w:lang w:eastAsia="ru-RU"/>
    </w:rPr>
  </w:style>
  <w:style w:type="paragraph" w:styleId="NoSpacing">
    <w:name w:val="No Spacing"/>
    <w:qFormat/>
    <w:rsid w:val="00595f48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Style29" w:customStyle="1">
    <w:name w:val="*Основной текст"/>
    <w:basedOn w:val="Style30"/>
    <w:autoRedefine/>
    <w:qFormat/>
    <w:rsid w:val="008e429c"/>
    <w:pPr>
      <w:widowControl/>
      <w:suppressAutoHyphens w:val="true"/>
      <w:bidi w:val="0"/>
      <w:spacing w:lineRule="auto" w:line="360" w:before="60" w:after="60"/>
      <w:ind w:hanging="0" w:left="0" w:right="0"/>
      <w:jc w:val="both"/>
    </w:pPr>
    <w:rPr/>
  </w:style>
  <w:style w:type="paragraph" w:styleId="Default" w:customStyle="1">
    <w:name w:val="Default"/>
    <w:qFormat/>
    <w:rsid w:val="002a77ef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ru-RU" w:eastAsia="ru-RU" w:bidi="ar-SA"/>
    </w:rPr>
  </w:style>
  <w:style w:type="paragraph" w:styleId="ListParagraph">
    <w:name w:val="List Paragraph"/>
    <w:basedOn w:val="Normal"/>
    <w:link w:val="Style10"/>
    <w:uiPriority w:val="34"/>
    <w:qFormat/>
    <w:rsid w:val="001f4774"/>
    <w:pPr>
      <w:spacing w:before="0" w:after="0"/>
      <w:ind w:left="720"/>
      <w:contextualSpacing/>
    </w:pPr>
    <w:rPr/>
  </w:style>
  <w:style w:type="paragraph" w:styleId="Style30" w:customStyle="1">
    <w:name w:val="ГС_Основной_текст"/>
    <w:link w:val="Style9"/>
    <w:qFormat/>
    <w:rsid w:val="00391c69"/>
    <w:pPr>
      <w:widowControl/>
      <w:tabs>
        <w:tab w:val="clear" w:pos="708"/>
        <w:tab w:val="left" w:pos="851" w:leader="none"/>
      </w:tabs>
      <w:suppressAutoHyphens w:val="true"/>
      <w:bidi w:val="0"/>
      <w:spacing w:lineRule="auto" w:line="288" w:before="60" w:after="6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 w:customStyle="1">
    <w:name w:val="Таблица_загол1ур"/>
    <w:basedOn w:val="Normal"/>
    <w:qFormat/>
    <w:rsid w:val="0055453c"/>
    <w:pPr>
      <w:keepNext w:val="true"/>
      <w:keepLines/>
      <w:spacing w:before="60" w:after="60"/>
      <w:jc w:val="center"/>
    </w:pPr>
    <w:rPr>
      <w:rFonts w:cs="Times New Roman"/>
      <w:b/>
      <w:bCs/>
      <w:sz w:val="24"/>
      <w:lang w:eastAsia="ru-RU"/>
    </w:rPr>
  </w:style>
  <w:style w:type="paragraph" w:styleId="111" w:customStyle="1">
    <w:name w:val="Таблица_текст_11"/>
    <w:basedOn w:val="Normal"/>
    <w:link w:val="11"/>
    <w:qFormat/>
    <w:rsid w:val="0055453c"/>
    <w:pPr>
      <w:spacing w:before="60" w:after="0"/>
    </w:pPr>
    <w:rPr>
      <w:rFonts w:cs="Times New Roman"/>
      <w:lang w:eastAsia="ru-RU"/>
    </w:rPr>
  </w:style>
  <w:style w:type="paragraph" w:styleId="22" w:customStyle="1">
    <w:name w:val="Таблица_загол2ур"/>
    <w:basedOn w:val="1"/>
    <w:next w:val="Normal"/>
    <w:qFormat/>
    <w:rsid w:val="0055453c"/>
    <w:pPr/>
    <w:rPr>
      <w:rFonts w:cs="Arial"/>
      <w:sz w:val="22"/>
      <w:szCs w:val="22"/>
    </w:rPr>
  </w:style>
  <w:style w:type="paragraph" w:styleId="Style31" w:customStyle="1">
    <w:name w:val="Таблица_список_буквами"/>
    <w:basedOn w:val="Normal"/>
    <w:qFormat/>
    <w:rsid w:val="0055453c"/>
    <w:pPr>
      <w:numPr>
        <w:ilvl w:val="1"/>
        <w:numId w:val="4"/>
      </w:numPr>
      <w:spacing w:lineRule="auto" w:line="360"/>
    </w:pPr>
    <w:rPr>
      <w:rFonts w:cs="Times New Roman"/>
      <w:sz w:val="22"/>
      <w:lang w:eastAsia="ru-RU"/>
    </w:rPr>
  </w:style>
  <w:style w:type="paragraph" w:styleId="12" w:customStyle="1">
    <w:name w:val="Таблица_список1ур"/>
    <w:basedOn w:val="Normal"/>
    <w:qFormat/>
    <w:rsid w:val="0055453c"/>
    <w:pPr>
      <w:keepLines/>
      <w:numPr>
        <w:ilvl w:val="0"/>
        <w:numId w:val="4"/>
      </w:numPr>
    </w:pPr>
    <w:rPr>
      <w:rFonts w:cs="Times New Roman"/>
      <w:sz w:val="22"/>
      <w:lang w:eastAsia="ru-RU"/>
    </w:rPr>
  </w:style>
  <w:style w:type="paragraph" w:styleId="Style32" w:customStyle="1">
    <w:name w:val="ГС_Список_МаркОтст"/>
    <w:link w:val="Style13"/>
    <w:qFormat/>
    <w:rsid w:val="000a5f3f"/>
    <w:pPr>
      <w:widowControl/>
      <w:numPr>
        <w:ilvl w:val="0"/>
        <w:numId w:val="7"/>
      </w:numPr>
      <w:tabs>
        <w:tab w:val="clear" w:pos="708"/>
        <w:tab w:val="left" w:pos="851" w:leader="none"/>
        <w:tab w:val="left" w:pos="1588" w:leader="none"/>
        <w:tab w:val="left" w:pos="1985" w:leader="none"/>
      </w:tabs>
      <w:suppressAutoHyphens w:val="true"/>
      <w:bidi w:val="0"/>
      <w:spacing w:lineRule="auto" w:line="360" w:before="0" w:after="60"/>
      <w:contextualSpacing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3" w:customStyle="1">
    <w:name w:val="ГС_Шаг"/>
    <w:qFormat/>
    <w:rsid w:val="000a5f3f"/>
    <w:pPr>
      <w:widowControl/>
      <w:numPr>
        <w:ilvl w:val="0"/>
        <w:numId w:val="6"/>
      </w:numPr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4" w:customStyle="1">
    <w:name w:val="ГС_МелкийТекст"/>
    <w:link w:val="Style14"/>
    <w:qFormat/>
    <w:rsid w:val="000a5f3f"/>
    <w:pPr>
      <w:widowControl/>
      <w:suppressAutoHyphens w:val="true"/>
      <w:bidi w:val="0"/>
      <w:spacing w:before="40" w:after="4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35" w:customStyle="1">
    <w:name w:val="ГС_НазвСтолбца"/>
    <w:basedOn w:val="Style34"/>
    <w:link w:val="Style15"/>
    <w:qFormat/>
    <w:rsid w:val="000a5f3f"/>
    <w:pPr>
      <w:keepNext w:val="true"/>
      <w:jc w:val="center"/>
    </w:pPr>
    <w:rPr>
      <w:b/>
      <w:bCs/>
    </w:rPr>
  </w:style>
  <w:style w:type="paragraph" w:styleId="Style36" w:customStyle="1">
    <w:name w:val="ГС_СписМелкМарк"/>
    <w:qFormat/>
    <w:rsid w:val="000a5f3f"/>
    <w:pPr>
      <w:widowControl/>
      <w:numPr>
        <w:ilvl w:val="0"/>
        <w:numId w:val="8"/>
      </w:numPr>
      <w:tabs>
        <w:tab w:val="clear" w:pos="708"/>
        <w:tab w:val="left" w:pos="284" w:leader="none"/>
        <w:tab w:val="left" w:pos="567" w:leader="none"/>
        <w:tab w:val="left" w:pos="851" w:leader="none"/>
        <w:tab w:val="left" w:pos="1134" w:leader="none"/>
      </w:tabs>
      <w:suppressAutoHyphens w:val="true"/>
      <w:bidi w:val="0"/>
      <w:spacing w:before="40" w:after="4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4"/>
      <w:lang w:val="ru-RU" w:eastAsia="ru-RU" w:bidi="ar-SA"/>
    </w:rPr>
  </w:style>
  <w:style w:type="paragraph" w:styleId="31" w:customStyle="1">
    <w:name w:val="Нумерованный_текст_уровень_3"/>
    <w:qFormat/>
    <w:rsid w:val="000a5f3f"/>
    <w:pPr>
      <w:widowControl/>
      <w:suppressAutoHyphens w:val="true"/>
      <w:bidi w:val="0"/>
      <w:spacing w:lineRule="auto" w:line="360" w:before="0" w:after="0"/>
      <w:ind w:firstLine="851"/>
      <w:contextualSpacing/>
      <w:jc w:val="both"/>
    </w:pPr>
    <w:rPr>
      <w:rFonts w:ascii="Times New Roman" w:hAnsi="Times New Roman" w:eastAsia="Times New Roman" w:cs="Times New Roman"/>
      <w:color w:val="auto"/>
      <w:kern w:val="2"/>
      <w:sz w:val="24"/>
      <w:szCs w:val="28"/>
      <w:lang w:val="ru-RU" w:eastAsia="ru-RU" w:bidi="ar-SA"/>
    </w:rPr>
  </w:style>
  <w:style w:type="paragraph" w:styleId="HTMLAddress">
    <w:name w:val="HTML Address"/>
    <w:basedOn w:val="Normal"/>
    <w:link w:val="HTML"/>
    <w:qFormat/>
    <w:rsid w:val="000a5f3f"/>
    <w:pPr>
      <w:keepNext w:val="true"/>
      <w:tabs>
        <w:tab w:val="clear" w:pos="708"/>
        <w:tab w:val="left" w:pos="1213" w:leader="none"/>
      </w:tabs>
      <w:spacing w:lineRule="auto" w:line="360" w:before="0" w:after="0"/>
      <w:ind w:firstLine="709"/>
      <w:contextualSpacing/>
      <w:jc w:val="both"/>
    </w:pPr>
    <w:rPr>
      <w:rFonts w:ascii="Times New Roman" w:hAnsi="Times New Roman" w:cs="Times New Roman"/>
      <w:i/>
      <w:iCs/>
      <w:kern w:val="2"/>
      <w:sz w:val="24"/>
      <w:szCs w:val="24"/>
      <w:lang w:eastAsia="ru-RU"/>
    </w:rPr>
  </w:style>
  <w:style w:type="paragraph" w:styleId="23" w:customStyle="1">
    <w:name w:val="Нумерованный_текст_уровень_2"/>
    <w:basedOn w:val="Heading2"/>
    <w:link w:val="21"/>
    <w:qFormat/>
    <w:rsid w:val="000a5f3f"/>
    <w:pPr>
      <w:numPr>
        <w:ilvl w:val="0"/>
        <w:numId w:val="5"/>
      </w:numPr>
      <w:tabs>
        <w:tab w:val="left" w:pos="576" w:leader="none"/>
        <w:tab w:val="left" w:pos="1213" w:leader="none"/>
      </w:tabs>
      <w:spacing w:lineRule="auto" w:line="360" w:before="0" w:after="0"/>
      <w:contextualSpacing/>
      <w:jc w:val="both"/>
    </w:pPr>
    <w:rPr>
      <w:rFonts w:ascii="Times New Roman" w:hAnsi="Times New Roman" w:cs="Times New Roman"/>
      <w:b w:val="false"/>
      <w:bCs w:val="false"/>
      <w:i w:val="false"/>
      <w:iCs w:val="false"/>
      <w:kern w:val="2"/>
      <w:sz w:val="24"/>
      <w:lang w:eastAsia="ru-RU"/>
    </w:rPr>
  </w:style>
  <w:style w:type="paragraph" w:styleId="Style37" w:customStyle="1">
    <w:name w:val="Простой"/>
    <w:basedOn w:val="Normal"/>
    <w:link w:val="Style17"/>
    <w:qFormat/>
    <w:rsid w:val="000a5f3f"/>
    <w:pPr>
      <w:keepNext w:val="true"/>
      <w:tabs>
        <w:tab w:val="clear" w:pos="708"/>
        <w:tab w:val="left" w:pos="1213" w:leader="none"/>
      </w:tabs>
      <w:spacing w:before="0" w:after="0"/>
      <w:contextualSpacing/>
      <w:jc w:val="both"/>
    </w:pPr>
    <w:rPr>
      <w:rFonts w:ascii="Times New Roman" w:hAnsi="Times New Roman" w:cs="Times New Roman"/>
      <w:kern w:val="2"/>
      <w:sz w:val="24"/>
      <w:szCs w:val="28"/>
      <w:lang w:eastAsia="ru-RU"/>
    </w:rPr>
  </w:style>
  <w:style w:type="paragraph" w:styleId="42" w:customStyle="1">
    <w:name w:val="Заголовок4"/>
    <w:basedOn w:val="Heading5"/>
    <w:link w:val="41"/>
    <w:autoRedefine/>
    <w:qFormat/>
    <w:rsid w:val="000b3747"/>
    <w:pPr>
      <w:numPr>
        <w:ilvl w:val="3"/>
        <w:numId w:val="1"/>
      </w:numPr>
      <w:tabs>
        <w:tab w:val="left" w:pos="1213" w:leader="none"/>
        <w:tab w:val="left" w:pos="8775" w:leader="none"/>
      </w:tabs>
      <w:outlineLvl w:val="3"/>
    </w:pPr>
    <w:rPr>
      <w:sz w:val="28"/>
    </w:rPr>
  </w:style>
  <w:style w:type="paragraph" w:styleId="Style38" w:customStyle="1">
    <w:name w:val="Текст_бюл"/>
    <w:basedOn w:val="PlainText"/>
    <w:link w:val="Style18"/>
    <w:qFormat/>
    <w:rsid w:val="000a5f3f"/>
    <w:pPr>
      <w:keepNext w:val="false"/>
      <w:tabs>
        <w:tab w:val="clear" w:pos="1213"/>
      </w:tabs>
      <w:spacing w:before="0" w:after="0"/>
      <w:ind w:hanging="0"/>
      <w:contextualSpacing w:val="false"/>
    </w:pPr>
    <w:rPr>
      <w:rFonts w:ascii="Times New Roman" w:hAnsi="Times New Roman" w:eastAsia="MS Mincho"/>
      <w:kern w:val="0"/>
      <w:sz w:val="26"/>
      <w:szCs w:val="24"/>
    </w:rPr>
  </w:style>
  <w:style w:type="paragraph" w:styleId="PlainText">
    <w:name w:val="Plain Text"/>
    <w:basedOn w:val="Normal"/>
    <w:link w:val="Style19"/>
    <w:semiHidden/>
    <w:unhideWhenUsed/>
    <w:qFormat/>
    <w:rsid w:val="000a5f3f"/>
    <w:pPr>
      <w:keepNext w:val="true"/>
      <w:tabs>
        <w:tab w:val="clear" w:pos="708"/>
        <w:tab w:val="left" w:pos="1213" w:leader="none"/>
      </w:tabs>
      <w:spacing w:before="0" w:after="0"/>
      <w:ind w:firstLine="709"/>
      <w:contextualSpacing/>
      <w:jc w:val="both"/>
    </w:pPr>
    <w:rPr>
      <w:rFonts w:ascii="Consolas" w:hAnsi="Consolas" w:cs="Times New Roman"/>
      <w:kern w:val="2"/>
      <w:sz w:val="21"/>
      <w:szCs w:val="21"/>
      <w:lang w:eastAsia="ru-RU"/>
    </w:rPr>
  </w:style>
  <w:style w:type="paragraph" w:styleId="TOC4">
    <w:name w:val="toc 4"/>
    <w:basedOn w:val="Normal"/>
    <w:next w:val="Normal"/>
    <w:autoRedefine/>
    <w:uiPriority w:val="39"/>
    <w:unhideWhenUsed/>
    <w:rsid w:val="000a5f3f"/>
    <w:pPr>
      <w:keepNext w:val="true"/>
      <w:spacing w:lineRule="auto" w:line="360" w:before="0" w:after="100"/>
      <w:ind w:firstLine="709" w:left="720"/>
      <w:contextualSpacing/>
      <w:jc w:val="both"/>
    </w:pPr>
    <w:rPr>
      <w:rFonts w:ascii="Times New Roman" w:hAnsi="Times New Roman" w:cs="Times New Roman"/>
      <w:kern w:val="2"/>
      <w:sz w:val="24"/>
      <w:szCs w:val="28"/>
      <w:lang w:eastAsia="ru-RU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c44e63"/>
    <w:pPr>
      <w:spacing w:lineRule="auto" w:line="259"/>
    </w:pPr>
    <w:rPr>
      <w:rFonts w:ascii="Times New Roman" w:hAnsi="Times New Roman" w:eastAsia="Calibri" w:cs="" w:cstheme="minorBidi" w:eastAsiaTheme="minorHAnsi"/>
      <w:sz w:val="24"/>
      <w:szCs w:val="22"/>
    </w:rPr>
  </w:style>
  <w:style w:type="paragraph" w:styleId="AHeading1app" w:customStyle="1">
    <w:name w:val="A_Heading1_app"/>
    <w:basedOn w:val="Normal"/>
    <w:qFormat/>
    <w:rsid w:val="00e55b7a"/>
    <w:pPr>
      <w:numPr>
        <w:ilvl w:val="0"/>
        <w:numId w:val="13"/>
      </w:numPr>
    </w:pPr>
    <w:rPr/>
  </w:style>
  <w:style w:type="paragraph" w:styleId="AHeading2app" w:customStyle="1">
    <w:name w:val="A_Heading2_app"/>
    <w:basedOn w:val="Normal"/>
    <w:qFormat/>
    <w:rsid w:val="00e55b7a"/>
    <w:pPr>
      <w:numPr>
        <w:ilvl w:val="1"/>
        <w:numId w:val="13"/>
      </w:numPr>
    </w:pPr>
    <w:rPr/>
  </w:style>
  <w:style w:type="paragraph" w:styleId="AHeading3app" w:customStyle="1">
    <w:name w:val="A_Heading3_app"/>
    <w:basedOn w:val="Normal"/>
    <w:qFormat/>
    <w:rsid w:val="00e55b7a"/>
    <w:pPr>
      <w:numPr>
        <w:ilvl w:val="2"/>
        <w:numId w:val="13"/>
      </w:numPr>
    </w:pPr>
    <w:rPr/>
  </w:style>
  <w:style w:type="paragraph" w:styleId="AHeading4app" w:customStyle="1">
    <w:name w:val="A_Heading4_app"/>
    <w:basedOn w:val="Normal"/>
    <w:qFormat/>
    <w:rsid w:val="00e55b7a"/>
    <w:pPr>
      <w:numPr>
        <w:ilvl w:val="3"/>
        <w:numId w:val="13"/>
      </w:numPr>
    </w:pPr>
    <w:rPr/>
  </w:style>
  <w:style w:type="paragraph" w:styleId="AHeading5app" w:customStyle="1">
    <w:name w:val="A_Heading5_app"/>
    <w:basedOn w:val="Normal"/>
    <w:qFormat/>
    <w:rsid w:val="00e55b7a"/>
    <w:pPr>
      <w:numPr>
        <w:ilvl w:val="4"/>
        <w:numId w:val="13"/>
      </w:numPr>
    </w:pPr>
    <w:rPr/>
  </w:style>
  <w:style w:type="paragraph" w:styleId="AHeading6app" w:customStyle="1">
    <w:name w:val="A_Heading6_app"/>
    <w:basedOn w:val="Normal"/>
    <w:qFormat/>
    <w:rsid w:val="00e55b7a"/>
    <w:pPr>
      <w:numPr>
        <w:ilvl w:val="5"/>
        <w:numId w:val="13"/>
      </w:numPr>
    </w:pPr>
    <w:rPr/>
  </w:style>
  <w:style w:type="paragraph" w:styleId="APictureNameApp" w:customStyle="1">
    <w:name w:val="A_Picture_Name_App"/>
    <w:basedOn w:val="Normal"/>
    <w:qFormat/>
    <w:rsid w:val="00e55b7a"/>
    <w:pPr>
      <w:numPr>
        <w:ilvl w:val="7"/>
        <w:numId w:val="13"/>
      </w:numPr>
    </w:pPr>
    <w:rPr/>
  </w:style>
  <w:style w:type="paragraph" w:styleId="ATableNameApp" w:customStyle="1">
    <w:name w:val="A_Table_Name_App"/>
    <w:basedOn w:val="Normal"/>
    <w:qFormat/>
    <w:rsid w:val="00e55b7a"/>
    <w:pPr>
      <w:numPr>
        <w:ilvl w:val="8"/>
        <w:numId w:val="13"/>
      </w:numPr>
    </w:pPr>
    <w:rPr/>
  </w:style>
  <w:style w:type="paragraph" w:styleId="Closing" w:customStyle="1">
    <w:name w:val="Closing"/>
    <w:basedOn w:val="AHeading1app"/>
    <w:qFormat/>
    <w:rsid w:val="0093296a"/>
    <w:pPr>
      <w:jc w:val="center"/>
    </w:pPr>
    <w:rPr>
      <w:rFonts w:ascii="Times New Roman" w:hAnsi="Times New Roman" w:cs="Times New Roman"/>
      <w:b/>
      <w:sz w:val="32"/>
      <w:szCs w:val="32"/>
    </w:rPr>
  </w:style>
  <w:style w:type="paragraph" w:styleId="Style39" w:customStyle="1">
    <w:name w:val="Перечень сокращений"/>
    <w:basedOn w:val="Title"/>
    <w:qFormat/>
    <w:rsid w:val="008a5159"/>
    <w:pPr>
      <w:numPr>
        <w:ilvl w:val="0"/>
        <w:numId w:val="0"/>
      </w:numPr>
      <w:ind w:hanging="576" w:left="576"/>
      <w:jc w:val="center"/>
    </w:pPr>
    <w:rPr/>
  </w:style>
  <w:style w:type="paragraph" w:styleId="ATableColumnName" w:customStyle="1">
    <w:name w:val="A_Table_ColumnName"/>
    <w:basedOn w:val="ATableBody"/>
    <w:qFormat/>
    <w:rsid w:val="00c418e1"/>
    <w:pPr>
      <w:keepNext w:val="true"/>
      <w:shd w:val="clear" w:color="auto" w:fill="0070C0"/>
      <w:spacing w:before="0" w:after="0"/>
      <w:jc w:val="center"/>
    </w:pPr>
    <w:rPr>
      <w:b/>
      <w:color w:val="FFFFFF"/>
    </w:rPr>
  </w:style>
  <w:style w:type="paragraph" w:styleId="ATableBody" w:customStyle="1">
    <w:name w:val="A_Table_Body"/>
    <w:basedOn w:val="Normal"/>
    <w:qFormat/>
    <w:rsid w:val="00c418e1"/>
    <w:pPr>
      <w:keepLines/>
      <w:tabs>
        <w:tab w:val="clear" w:pos="708"/>
        <w:tab w:val="left" w:pos="851" w:leader="none"/>
      </w:tabs>
      <w:spacing w:lineRule="auto" w:line="360" w:before="60" w:after="60"/>
      <w:jc w:val="both"/>
    </w:pPr>
    <w:rPr>
      <w:rFonts w:cs="Times New Roman"/>
      <w:szCs w:val="24"/>
      <w:lang w:val="en-US" w:eastAsia="ru-RU"/>
    </w:rPr>
  </w:style>
  <w:style w:type="paragraph" w:styleId="AListbullet" w:customStyle="1">
    <w:name w:val="A_List_bullet"/>
    <w:basedOn w:val="Normal"/>
    <w:qFormat/>
    <w:rsid w:val="00b94501"/>
    <w:pPr>
      <w:keepLines/>
      <w:numPr>
        <w:ilvl w:val="0"/>
        <w:numId w:val="14"/>
      </w:numPr>
      <w:spacing w:lineRule="auto" w:line="360" w:before="60" w:after="60"/>
      <w:jc w:val="both"/>
    </w:pPr>
    <w:rPr>
      <w:rFonts w:cs="Times New Roman"/>
      <w:sz w:val="24"/>
      <w:lang w:val="en-US" w:eastAsia="ru-RU"/>
    </w:rPr>
  </w:style>
  <w:style w:type="paragraph" w:styleId="AList2bullet" w:customStyle="1">
    <w:name w:val="A_List2_bullet"/>
    <w:basedOn w:val="AListbullet"/>
    <w:qFormat/>
    <w:rsid w:val="00b94501"/>
    <w:pPr/>
    <w:rPr/>
  </w:style>
  <w:style w:type="paragraph" w:styleId="ABodyindent" w:customStyle="1">
    <w:name w:val="A_Body_indent"/>
    <w:basedOn w:val="Normal"/>
    <w:qFormat/>
    <w:rsid w:val="00b94501"/>
    <w:pPr>
      <w:keepLines/>
      <w:tabs>
        <w:tab w:val="clear" w:pos="708"/>
        <w:tab w:val="left" w:pos="0" w:leader="none"/>
      </w:tabs>
      <w:spacing w:lineRule="auto" w:line="360" w:before="120" w:after="120"/>
      <w:ind w:firstLine="851"/>
      <w:jc w:val="both"/>
    </w:pPr>
    <w:rPr>
      <w:rFonts w:cs="Times New Roman"/>
      <w:sz w:val="24"/>
      <w:szCs w:val="24"/>
      <w:lang w:val="en-US" w:eastAsia="ru-RU"/>
    </w:rPr>
  </w:style>
  <w:style w:type="paragraph" w:styleId="AList3bullet" w:customStyle="1">
    <w:name w:val="A_List3_bullet"/>
    <w:basedOn w:val="AList2bullet"/>
    <w:qFormat/>
    <w:rsid w:val="00b94501"/>
    <w:pPr/>
    <w:rPr/>
  </w:style>
  <w:style w:type="paragraph" w:styleId="AList4bullet" w:customStyle="1">
    <w:name w:val="A_List4_bullet"/>
    <w:basedOn w:val="AList3bullet"/>
    <w:uiPriority w:val="99"/>
    <w:qFormat/>
    <w:rsid w:val="00b94501"/>
    <w:pPr>
      <w:widowControl w:val="false"/>
    </w:pPr>
    <w:rPr>
      <w:color w:val="000000"/>
      <w:szCs w:val="24"/>
      <w:lang w:val="ru-RU"/>
    </w:rPr>
  </w:style>
  <w:style w:type="paragraph" w:styleId="ABody" w:customStyle="1">
    <w:name w:val="A_Body"/>
    <w:qFormat/>
    <w:rsid w:val="00392167"/>
    <w:pPr>
      <w:keepLines/>
      <w:widowControl/>
      <w:tabs>
        <w:tab w:val="clear" w:pos="708"/>
        <w:tab w:val="left" w:pos="851" w:leader="none"/>
      </w:tabs>
      <w:suppressAutoHyphens w:val="true"/>
      <w:bidi w:val="0"/>
      <w:spacing w:lineRule="auto" w:line="360" w:before="120" w:after="120"/>
      <w:ind w:firstLine="851"/>
      <w:jc w:val="both"/>
    </w:pPr>
    <w:rPr>
      <w:rFonts w:ascii="Arial" w:hAnsi="Arial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TMLPreformatted">
    <w:name w:val="HTML Preformatted"/>
    <w:basedOn w:val="Normal"/>
    <w:link w:val="HTML1"/>
    <w:qFormat/>
    <w:rsid w:val="00286e31"/>
    <w:pPr>
      <w:keepNext w:val="true"/>
      <w:keepLines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120" w:after="0"/>
    </w:pPr>
    <w:rPr>
      <w:rFonts w:ascii="Arial Unicode MS" w:hAnsi="Arial Unicode MS" w:eastAsia="Arial Unicode MS" w:cs="Arial Unicode MS"/>
      <w:color w:val="000000"/>
    </w:rPr>
  </w:style>
  <w:style w:type="paragraph" w:styleId="AList123" w:customStyle="1">
    <w:name w:val="A_List_123"/>
    <w:basedOn w:val="ABody"/>
    <w:qFormat/>
    <w:rsid w:val="00286e31"/>
    <w:pPr>
      <w:numPr>
        <w:ilvl w:val="0"/>
        <w:numId w:val="16"/>
      </w:numPr>
      <w:tabs>
        <w:tab w:val="clear" w:pos="851"/>
        <w:tab w:val="left" w:pos="1191" w:leader="none"/>
      </w:tabs>
      <w:spacing w:before="60" w:after="60"/>
    </w:pPr>
    <w:rPr/>
  </w:style>
  <w:style w:type="paragraph" w:styleId="AList2123" w:customStyle="1">
    <w:name w:val="A_List2_123"/>
    <w:basedOn w:val="AList123"/>
    <w:uiPriority w:val="99"/>
    <w:qFormat/>
    <w:rsid w:val="00286e31"/>
    <w:pPr/>
    <w:rPr>
      <w:color w:val="000000"/>
    </w:rPr>
  </w:style>
  <w:style w:type="paragraph" w:styleId="AList3123" w:customStyle="1">
    <w:name w:val="A_List3_123"/>
    <w:basedOn w:val="AList2123"/>
    <w:qFormat/>
    <w:rsid w:val="00286e31"/>
    <w:pPr/>
    <w:rPr/>
  </w:style>
  <w:style w:type="paragraph" w:styleId="AFormula" w:customStyle="1">
    <w:name w:val="A_Formula"/>
    <w:basedOn w:val="ABody"/>
    <w:qFormat/>
    <w:rsid w:val="00286e31"/>
    <w:pPr>
      <w:spacing w:before="240" w:after="240"/>
      <w:contextualSpacing/>
      <w:jc w:val="left"/>
    </w:pPr>
    <w:rPr>
      <w:i/>
      <w:lang w:val="ru-RU" w:bidi="ru-RU"/>
    </w:rPr>
  </w:style>
  <w:style w:type="paragraph" w:styleId="24" w:customStyle="1">
    <w:name w:val="ГС_Заголовок2_прил"/>
    <w:basedOn w:val="Heading2"/>
    <w:next w:val="Style30"/>
    <w:qFormat/>
    <w:rsid w:val="00d70d67"/>
    <w:pPr>
      <w:tabs>
        <w:tab w:val="clear" w:pos="576"/>
      </w:tabs>
      <w:spacing w:before="180" w:after="180"/>
      <w:ind w:hanging="0" w:left="851"/>
    </w:pPr>
    <w:rPr>
      <w:rFonts w:cs="Times New Roman"/>
      <w:bCs w:val="false"/>
      <w:iCs w:val="false"/>
      <w:kern w:val="2"/>
      <w:lang w:eastAsia="ru-RU"/>
    </w:rPr>
  </w:style>
  <w:style w:type="paragraph" w:styleId="13" w:customStyle="1">
    <w:name w:val="ГС_Заголовок1_прил"/>
    <w:basedOn w:val="Heading1"/>
    <w:next w:val="Style30"/>
    <w:qFormat/>
    <w:rsid w:val="00d70d67"/>
    <w:pPr>
      <w:numPr>
        <w:ilvl w:val="0"/>
        <w:numId w:val="0"/>
      </w:numPr>
      <w:spacing w:before="180" w:after="180"/>
      <w:jc w:val="center"/>
    </w:pPr>
    <w:rPr>
      <w:rFonts w:ascii="Arial" w:hAnsi="Arial" w:cs="Times New Roman"/>
      <w:kern w:val="2"/>
      <w:sz w:val="28"/>
      <w:szCs w:val="28"/>
      <w:lang w:eastAsia="ru-RU"/>
    </w:rPr>
  </w:style>
  <w:style w:type="paragraph" w:styleId="32" w:customStyle="1">
    <w:name w:val="ГС_Заголовок3_прил"/>
    <w:basedOn w:val="Heading3"/>
    <w:next w:val="Style30"/>
    <w:qFormat/>
    <w:rsid w:val="00d70d67"/>
    <w:pPr>
      <w:numPr>
        <w:ilvl w:val="0"/>
        <w:numId w:val="0"/>
      </w:numPr>
      <w:spacing w:before="180" w:after="180"/>
      <w:ind w:hanging="0" w:left="851"/>
    </w:pPr>
    <w:rPr>
      <w:rFonts w:ascii="Arial" w:hAnsi="Arial"/>
      <w:bCs w:val="false"/>
      <w:szCs w:val="24"/>
      <w:lang w:eastAsia="ru-RU"/>
    </w:rPr>
  </w:style>
  <w:style w:type="paragraph" w:styleId="43" w:customStyle="1">
    <w:name w:val="ГС_Заголовок4_прил"/>
    <w:basedOn w:val="Heading4"/>
    <w:next w:val="Style30"/>
    <w:qFormat/>
    <w:rsid w:val="00d70d67"/>
    <w:pPr>
      <w:numPr>
        <w:ilvl w:val="0"/>
        <w:numId w:val="0"/>
      </w:numPr>
      <w:tabs>
        <w:tab w:val="clear" w:pos="1213"/>
      </w:tabs>
      <w:spacing w:lineRule="auto" w:line="240" w:before="180" w:after="180"/>
      <w:ind w:hanging="0" w:left="851"/>
      <w:contextualSpacing w:val="false"/>
      <w:jc w:val="left"/>
    </w:pPr>
    <w:rPr>
      <w:rFonts w:ascii="Arial" w:hAnsi="Arial"/>
      <w:bCs w:val="false"/>
      <w:i/>
      <w:lang w:eastAsia="ru-RU"/>
    </w:rPr>
  </w:style>
  <w:style w:type="paragraph" w:styleId="51" w:customStyle="1">
    <w:name w:val="ГС_Заголовок5_прил"/>
    <w:basedOn w:val="Heading5"/>
    <w:next w:val="Style30"/>
    <w:qFormat/>
    <w:rsid w:val="00d70d67"/>
    <w:pPr>
      <w:numPr>
        <w:ilvl w:val="0"/>
        <w:numId w:val="0"/>
      </w:numPr>
      <w:tabs>
        <w:tab w:val="clear" w:pos="1213"/>
      </w:tabs>
      <w:spacing w:lineRule="auto" w:line="240" w:before="120" w:after="240"/>
      <w:ind w:left="851"/>
      <w:contextualSpacing w:val="false"/>
      <w:jc w:val="left"/>
    </w:pPr>
    <w:rPr>
      <w:rFonts w:ascii="Arial" w:hAnsi="Arial"/>
      <w:i w:val="false"/>
      <w:szCs w:val="20"/>
      <w:lang w:eastAsia="ru-RU"/>
    </w:rPr>
  </w:style>
  <w:style w:type="paragraph" w:styleId="6" w:customStyle="1">
    <w:name w:val="ГС_Заголовок6_прил"/>
    <w:basedOn w:val="Heading6"/>
    <w:next w:val="Style30"/>
    <w:qFormat/>
    <w:rsid w:val="00d70d67"/>
    <w:pPr>
      <w:numPr>
        <w:ilvl w:val="0"/>
        <w:numId w:val="0"/>
      </w:numPr>
      <w:tabs>
        <w:tab w:val="clear" w:pos="708"/>
        <w:tab w:val="left" w:pos="2003" w:leader="none"/>
      </w:tabs>
      <w:spacing w:before="120" w:after="240"/>
      <w:ind w:left="851"/>
      <w:jc w:val="left"/>
    </w:pPr>
    <w:rPr>
      <w:rFonts w:ascii="Arial" w:hAnsi="Arial"/>
      <w:i/>
      <w:sz w:val="22"/>
      <w:lang w:eastAsia="ru-RU"/>
    </w:rPr>
  </w:style>
  <w:style w:type="paragraph" w:styleId="Note" w:customStyle="1">
    <w:name w:val="Note"/>
    <w:next w:val="BodyText"/>
    <w:qFormat/>
    <w:rsid w:val="006727ad"/>
    <w:pPr>
      <w:widowControl/>
      <w:numPr>
        <w:ilvl w:val="0"/>
        <w:numId w:val="17"/>
      </w:numPr>
      <w:tabs>
        <w:tab w:val="clear" w:pos="708"/>
        <w:tab w:val="left" w:pos="720" w:leader="none"/>
      </w:tabs>
      <w:suppressAutoHyphens w:val="true"/>
      <w:bidi w:val="0"/>
      <w:spacing w:before="180" w:after="180"/>
      <w:ind w:hanging="720" w:left="720"/>
      <w:jc w:val="left"/>
    </w:pPr>
    <w:rPr>
      <w:rFonts w:ascii="Arial" w:hAnsi="Arial" w:eastAsia="Times New Roman" w:cs="Arial"/>
      <w:iCs/>
      <w:color w:val="auto"/>
      <w:kern w:val="0"/>
      <w:sz w:val="20"/>
      <w:szCs w:val="20"/>
      <w:lang w:val="en-US" w:eastAsia="en-US" w:bidi="ar-SA"/>
    </w:rPr>
  </w:style>
  <w:style w:type="paragraph" w:styleId="Style40" w:customStyle="1">
    <w:name w:val="Основной"/>
    <w:basedOn w:val="Normal"/>
    <w:link w:val="Style22"/>
    <w:qFormat/>
    <w:rsid w:val="000d7828"/>
    <w:pPr>
      <w:keepNext w:val="true"/>
      <w:keepLines/>
      <w:spacing w:before="0" w:after="120"/>
      <w:jc w:val="both"/>
    </w:pPr>
    <w:rPr>
      <w:rFonts w:ascii="Courier New" w:hAnsi="Courier New" w:cs="Times New Roman"/>
      <w:sz w:val="22"/>
    </w:rPr>
  </w:style>
  <w:style w:type="paragraph" w:styleId="Style41" w:customStyle="1">
    <w:name w:val="_МелкийТекст"/>
    <w:qFormat/>
    <w:rsid w:val="000e4690"/>
    <w:pPr>
      <w:widowControl/>
      <w:suppressAutoHyphens w:val="true"/>
      <w:bidi w:val="0"/>
      <w:spacing w:before="40" w:after="4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common1" w:customStyle="1">
    <w:name w:val="_common"/>
    <w:basedOn w:val="Normal"/>
    <w:link w:val="common"/>
    <w:qFormat/>
    <w:rsid w:val="00fe686c"/>
    <w:pPr>
      <w:spacing w:lineRule="auto" w:line="360" w:before="0" w:after="0"/>
      <w:ind w:firstLine="720"/>
      <w:contextualSpacing/>
      <w:jc w:val="both"/>
    </w:pPr>
    <w:rPr>
      <w:rFonts w:ascii="Times New Roman" w:hAnsi="Times New Roman"/>
      <w:sz w:val="24"/>
      <w:lang w:eastAsia="ru-RU"/>
    </w:rPr>
  </w:style>
  <w:style w:type="paragraph" w:styleId="ATableBodycenter" w:customStyle="1">
    <w:name w:val="A_Table_Body_center"/>
    <w:basedOn w:val="ATableBody"/>
    <w:qFormat/>
    <w:rsid w:val="00165f12"/>
    <w:pPr>
      <w:spacing w:lineRule="auto" w:line="276" w:before="60" w:after="60"/>
      <w:contextualSpacing/>
      <w:jc w:val="center"/>
    </w:pPr>
    <w:rPr>
      <w:rFonts w:ascii="Times New Roman" w:hAnsi="Times New Roman"/>
    </w:rPr>
  </w:style>
  <w:style w:type="paragraph" w:styleId="14" w:customStyle="1">
    <w:name w:val="Заголовок_1"/>
    <w:qFormat/>
    <w:rsid w:val="0068208a"/>
    <w:pPr>
      <w:keepNext w:val="true"/>
      <w:pageBreakBefore/>
      <w:widowControl/>
      <w:numPr>
        <w:ilvl w:val="0"/>
        <w:numId w:val="18"/>
      </w:numPr>
      <w:suppressAutoHyphens w:val="true"/>
      <w:bidi w:val="0"/>
      <w:spacing w:before="120" w:after="240"/>
      <w:ind w:hanging="425" w:left="1134"/>
      <w:jc w:val="left"/>
      <w:outlineLvl w:val="0"/>
    </w:pPr>
    <w:rPr>
      <w:rFonts w:ascii="Times New Roman" w:hAnsi="Times New Roman" w:eastAsia="Times New Roman" w:cs="Arial"/>
      <w:b/>
      <w:color w:val="auto"/>
      <w:kern w:val="0"/>
      <w:sz w:val="32"/>
      <w:szCs w:val="20"/>
      <w:lang w:val="ru-RU" w:eastAsia="ru-RU" w:bidi="ar-SA"/>
    </w:rPr>
  </w:style>
  <w:style w:type="paragraph" w:styleId="25" w:customStyle="1">
    <w:name w:val="Заголовок_2"/>
    <w:basedOn w:val="Normal"/>
    <w:qFormat/>
    <w:rsid w:val="0068208a"/>
    <w:pPr>
      <w:keepNext w:val="true"/>
      <w:numPr>
        <w:ilvl w:val="4"/>
        <w:numId w:val="18"/>
      </w:numPr>
      <w:suppressAutoHyphens w:val="true"/>
      <w:spacing w:lineRule="auto" w:line="360" w:before="240" w:after="0"/>
      <w:outlineLvl w:val="1"/>
    </w:pPr>
    <w:rPr>
      <w:rFonts w:ascii="Times New Roman" w:hAnsi="Times New Roman"/>
      <w:b/>
      <w:bCs/>
      <w:iCs/>
      <w:sz w:val="28"/>
      <w:szCs w:val="28"/>
      <w:lang w:eastAsia="ru-RU"/>
    </w:rPr>
  </w:style>
  <w:style w:type="paragraph" w:styleId="33" w:customStyle="1">
    <w:name w:val="Заголовок_3"/>
    <w:basedOn w:val="25"/>
    <w:qFormat/>
    <w:rsid w:val="0068208a"/>
    <w:pPr>
      <w:ind w:left="1417"/>
      <w:outlineLvl w:val="2"/>
    </w:pPr>
    <w:rPr>
      <w:sz w:val="24"/>
    </w:rPr>
  </w:style>
  <w:style w:type="paragraph" w:styleId="44" w:customStyle="1">
    <w:name w:val="Заголовок_4"/>
    <w:basedOn w:val="33"/>
    <w:qFormat/>
    <w:rsid w:val="0068208a"/>
    <w:pPr>
      <w:ind w:hanging="851" w:left="1560"/>
      <w:outlineLvl w:val="3"/>
    </w:pPr>
    <w:rPr>
      <w:sz w:val="22"/>
    </w:rPr>
  </w:style>
  <w:style w:type="paragraph" w:styleId="123451" w:customStyle="1">
    <w:name w:val="12345"/>
    <w:basedOn w:val="25"/>
    <w:link w:val="12345"/>
    <w:qFormat/>
    <w:rsid w:val="0068208a"/>
    <w:pPr>
      <w:ind w:left="1417"/>
    </w:pPr>
    <w:rPr/>
  </w:style>
  <w:style w:type="paragraph" w:styleId="TOC6">
    <w:name w:val="toc 6"/>
    <w:basedOn w:val="user4"/>
    <w:pPr/>
    <w:rPr/>
  </w:style>
  <w:style w:type="paragraph" w:styleId="TOC7">
    <w:name w:val="toc 7"/>
    <w:basedOn w:val="user4"/>
    <w:pPr/>
    <w:rPr/>
  </w:style>
  <w:style w:type="paragraph" w:styleId="TOC8">
    <w:name w:val="toc 8"/>
    <w:basedOn w:val="user4"/>
    <w:pPr/>
    <w:rPr/>
  </w:style>
  <w:style w:type="paragraph" w:styleId="TOC9">
    <w:name w:val="toc 9"/>
    <w:basedOn w:val="user4"/>
    <w:pPr/>
    <w:rPr/>
  </w:style>
  <w:style w:type="paragraph" w:styleId="Style42">
    <w:name w:val="Содержимое таблицы"/>
    <w:basedOn w:val="Normal"/>
    <w:qFormat/>
    <w:pPr>
      <w:widowControl w:val="false"/>
      <w:suppressLineNumbers/>
    </w:pPr>
    <w:rPr/>
  </w:style>
  <w:style w:type="paragraph" w:styleId="Style43">
    <w:name w:val="Заголовок таблицы"/>
    <w:basedOn w:val="Style42"/>
    <w:qFormat/>
    <w:pPr>
      <w:suppressLineNumbers/>
      <w:jc w:val="center"/>
    </w:pPr>
    <w:rPr>
      <w:b/>
      <w:bCs/>
    </w:rPr>
  </w:style>
  <w:style w:type="paragraph" w:styleId="Style44">
    <w:name w:val="Заголовок списка иллюстраций"/>
    <w:basedOn w:val="IndexHeading"/>
    <w:qFormat/>
    <w:pPr>
      <w:suppressLineNumbers/>
      <w:ind w:hanging="0" w:left="0"/>
    </w:pPr>
    <w:rPr>
      <w:rFonts w:ascii="Times New Roman" w:hAnsi="Times New Roman"/>
      <w:b w:val="false"/>
      <w:bCs/>
      <w:sz w:val="24"/>
      <w:szCs w:val="32"/>
    </w:rPr>
  </w:style>
  <w:style w:type="paragraph" w:styleId="Style45">
    <w:name w:val="Заголовок списка таблиц"/>
    <w:basedOn w:val="IndexHeading"/>
    <w:qFormat/>
    <w:pPr>
      <w:suppressLineNumbers/>
      <w:ind w:hanging="0" w:left="0"/>
    </w:pPr>
    <w:rPr>
      <w:rFonts w:ascii="Times New Roman" w:hAnsi="Times New Roman"/>
      <w:b w:val="false"/>
      <w:bCs/>
      <w:sz w:val="24"/>
      <w:szCs w:val="32"/>
    </w:rPr>
  </w:style>
  <w:style w:type="paragraph" w:styleId="10user">
    <w:name w:val="Заголовок 10 (user)"/>
    <w:basedOn w:val="user3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10">
    <w:name w:val="Заголовок 10"/>
    <w:basedOn w:val="Style27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Style46">
    <w:name w:val="Содержимое врезки"/>
    <w:basedOn w:val="Normal"/>
    <w:qFormat/>
    <w:pPr/>
    <w:rPr/>
  </w:style>
  <w:style w:type="numbering" w:styleId="user5" w:default="1">
    <w:name w:val="Без списка (user)"/>
    <w:uiPriority w:val="99"/>
    <w:semiHidden/>
    <w:unhideWhenUsed/>
    <w:qFormat/>
  </w:style>
  <w:style w:type="numbering" w:styleId="123">
    <w:name w:val="Нумерованный 123"/>
    <w:qFormat/>
  </w:style>
  <w:style w:type="table" w:default="1" w:styleId="a8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e">
    <w:name w:val="Table Grid"/>
    <w:basedOn w:val="a8"/>
    <w:uiPriority w:val="39"/>
    <w:rsid w:val="00d11c3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STableStyle">
    <w:name w:val="TS Table Style"/>
    <w:basedOn w:val="a8"/>
    <w:uiPriority w:val="99"/>
    <w:qFormat/>
    <w:rsid w:val="004a59e2"/>
    <w:pPr>
      <w:spacing w:before="120" w:after="120"/>
    </w:pPr>
    <w:rPr>
      <w:lang w:val="en-GB" w:eastAsia="en-GB"/>
    </w:rPr>
    <w:tblPr>
      <w:tblBorders>
        <w:top w:val="single" w:color="000000" w:sz="6" w:space="0"/>
        <w:bottom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pPr>
        <w:wordWrap/>
        <w:spacing w:beforeLines="0" w:afterLines="0"/>
      </w:pPr>
      <w:rPr>
        <w:b/>
      </w:rPr>
      <w:tblPr/>
      <w:tcPr>
        <w:tcBorders>
          <w:top w:val="single" w:color="000000" w:sz="6" w:space="0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</w:style>
  <w:style w:type="table" w:customStyle="1" w:styleId="TSTableStyle7">
    <w:name w:val="TS Table Style7"/>
    <w:basedOn w:val="a8"/>
    <w:uiPriority w:val="99"/>
    <w:qFormat/>
    <w:rsid w:val="006727ad"/>
    <w:pPr>
      <w:spacing w:before="120" w:after="120"/>
    </w:pPr>
    <w:rPr>
      <w:lang w:val="en-GB" w:eastAsia="en-GB"/>
    </w:rPr>
    <w:tblPr>
      <w:tblBorders>
        <w:top w:val="single" w:color="000000" w:sz="6" w:space="0"/>
        <w:bottom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pPr>
        <w:wordWrap/>
        <w:spacing w:beforeLines="0" w:afterLines="0"/>
      </w:pPr>
      <w:tblPr/>
      <w:tcPr>
        <w:shd w:val="clear" w:color="auto" w:fill="D9D9D9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header" Target="header6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24A7A-9B75-46DC-B001-6CBEB9BC9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Application>LibreOffice/25.2.2.2$Linux_X86_64 LibreOffice_project/520$Build-2</Application>
  <AppVersion>15.0000</AppVersion>
  <Pages>26</Pages>
  <Words>3499</Words>
  <Characters>26071</Characters>
  <CharactersWithSpaces>29395</CharactersWithSpaces>
  <Paragraphs>447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2023-03-13T08:40:00Z</dcterms:created>
  <dc:creator/>
  <dc:description/>
  <dc:language>ru-RU</dc:language>
  <cp:lastModifiedBy/>
  <dcterms:modified xsi:type="dcterms:W3CDTF">2025-05-19T23:06:30Z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