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Times New Roman"/>
        </w:rPr>
      </w:pPr>
      <w:r>
        <w:rPr>
          <w:rFonts w:cs="Times New Roma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6820" cy="85585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820" cy="855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rPr>
          <w:rFonts w:cs="Times New Roman"/>
        </w:rPr>
      </w:pPr>
      <w:r>
        <w:rPr>
          <w:rFonts w:cs="Times New Roman"/>
        </w:rPr>
      </w:r>
    </w:p>
    <w:tbl>
      <w:tblPr>
        <w:tblStyle w:val="af5"/>
        <w:tblW w:w="4962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28" w:type="dxa"/>
        </w:tblCellMar>
        <w:tblLook w:val="04a0" w:noHBand="0" w:noVBand="1" w:firstColumn="1" w:lastRow="0" w:lastColumn="0" w:firstRow="1"/>
      </w:tblPr>
      <w:tblGrid>
        <w:gridCol w:w="332"/>
        <w:gridCol w:w="528"/>
        <w:gridCol w:w="336"/>
        <w:gridCol w:w="238"/>
        <w:gridCol w:w="2251"/>
        <w:gridCol w:w="285"/>
        <w:gridCol w:w="460"/>
        <w:gridCol w:w="531"/>
      </w:tblGrid>
      <w:tr>
        <w:trPr/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sz w:val="20"/>
                <w:lang w:val="ru-RU" w:eastAsia="ru-RU" w:bidi="ar-SA"/>
              </w:rPr>
              <w:t>УТВЕРЖДАЮ</w:t>
            </w:r>
          </w:p>
        </w:tc>
      </w:tr>
      <w:tr>
        <w:trPr/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righ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Заместитель директора департамента</w:t>
              <w:br/>
              <w:t xml:space="preserve">Компания </w:t>
            </w:r>
            <w:r>
              <w:rPr>
                <w:rFonts w:cs="Times New Roman"/>
                <w:kern w:val="0"/>
                <w:lang w:val="ru-RU" w:eastAsia="ru-RU" w:bidi="ar-SA"/>
              </w:rPr>
              <w:t>А</w:t>
            </w:r>
            <w:r>
              <w:rPr>
                <w:rFonts w:eastAsia="Times New Roman" w:cs="Times New Roman"/>
                <w:b w:val="false"/>
                <w:bCs w:val="false"/>
                <w:kern w:val="0"/>
                <w:sz w:val="24"/>
                <w:szCs w:val="24"/>
                <w:lang w:val="ru-RU" w:eastAsia="ru-RU" w:bidi="ar-SA"/>
              </w:rPr>
              <w:t>О «digital-tv»</w:t>
            </w:r>
          </w:p>
        </w:tc>
      </w:tr>
      <w:tr>
        <w:trPr/>
        <w:tc>
          <w:tcPr>
            <w:tcW w:w="3685" w:type="dxa"/>
            <w:gridSpan w:val="5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 xml:space="preserve">  </w:t>
            </w:r>
            <w:r>
              <w:rPr>
                <w:rFonts w:cs="Times New Roman"/>
                <w:kern w:val="0"/>
                <w:lang w:val="ru-RU" w:eastAsia="ru-RU" w:bidi="ar-SA"/>
              </w:rPr>
              <w:t>ФИО</w:t>
            </w:r>
          </w:p>
        </w:tc>
      </w:tr>
      <w:tr>
        <w:trPr/>
        <w:tc>
          <w:tcPr>
            <w:tcW w:w="3685" w:type="dxa"/>
            <w:gridSpan w:val="5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  <w:vertAlign w:val="superscript"/>
              </w:rPr>
            </w:pPr>
            <w:r>
              <w:rPr>
                <w:rFonts w:cs="Times New Roman"/>
                <w:kern w:val="0"/>
                <w:vertAlign w:val="superscript"/>
                <w:lang w:val="ru-RU" w:eastAsia="ru-RU" w:bidi="ar-SA"/>
              </w:rPr>
              <w:t>(личная подпись)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Times New Roman"/>
                <w:sz w:val="24"/>
                <w:szCs w:val="20"/>
              </w:rPr>
              <w:t>АстаховС.П.</w:t>
            </w:r>
          </w:p>
        </w:tc>
      </w:tr>
      <w:tr>
        <w:trPr/>
        <w:tc>
          <w:tcPr>
            <w:tcW w:w="3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«</w:t>
            </w:r>
          </w:p>
        </w:tc>
        <w:tc>
          <w:tcPr>
            <w:tcW w:w="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19</w:t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»</w:t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</w:r>
          </w:p>
        </w:tc>
        <w:tc>
          <w:tcPr>
            <w:tcW w:w="225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05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20</w:t>
            </w:r>
          </w:p>
        </w:tc>
        <w:tc>
          <w:tcPr>
            <w:tcW w:w="53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cs="Times New Roman"/>
              </w:rPr>
            </w:pPr>
            <w:r>
              <w:rPr>
                <w:rFonts w:cs="Times New Roman"/>
                <w:kern w:val="0"/>
                <w:lang w:val="ru-RU" w:eastAsia="ru-RU" w:bidi="ar-SA"/>
              </w:rPr>
              <w:t>25</w:t>
            </w:r>
          </w:p>
        </w:tc>
      </w:tr>
    </w:tbl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jc w:val="center"/>
        <w:rPr>
          <w:rFonts w:cs="Times New Roman"/>
          <w:b/>
          <w:sz w:val="40"/>
        </w:rPr>
      </w:pPr>
      <w:r>
        <w:rPr>
          <w:rFonts w:cs="Times New Roman"/>
          <w:b/>
          <w:sz w:val="32"/>
        </w:rPr>
        <w:t>Пояснительная записка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ИТ-инфраструктура ТВ-канала</w:t>
      </w:r>
    </w:p>
    <w:p>
      <w:pPr>
        <w:pStyle w:val="Normal"/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Компания АО «digital-tv»</w:t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ind w:hanging="0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BodyText"/>
        <w:jc w:val="center"/>
        <w:rPr>
          <w:rFonts w:cs="Times New Roman"/>
        </w:rPr>
      </w:pPr>
      <w:r>
        <w:rPr>
          <w:rFonts w:cs="Times New Roman" w:ascii="Times New Roman" w:hAnsi="Times New Roman"/>
        </w:rPr>
        <w:t>Москва</w:t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18" w:right="1134" w:gutter="0" w:header="709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BodyText"/>
        <w:jc w:val="center"/>
        <w:rPr>
          <w:rFonts w:cs="Times New Roman"/>
        </w:rPr>
      </w:pPr>
      <w:r>
        <w:rPr>
          <w:rFonts w:cs="Times New Roman" w:ascii="Times New Roman" w:hAnsi="Times New Roman"/>
        </w:rPr>
        <w:t>2025</w:t>
      </w:r>
    </w:p>
    <w:p>
      <w:pPr>
        <w:pStyle w:val="Normal"/>
        <w:jc w:val="center"/>
        <w:rPr>
          <w:rFonts w:cs="Times New Roman"/>
          <w:b/>
          <w:sz w:val="28"/>
          <w:lang w:val="en-US"/>
        </w:rPr>
      </w:pPr>
      <w:r>
        <w:rPr>
          <w:rFonts w:cs="Times New Roman"/>
          <w:b/>
          <w:sz w:val="28"/>
          <w:lang w:val="en-US"/>
        </w:rPr>
      </w:r>
      <w:bookmarkStart w:id="0" w:name="_Toc90360388"/>
      <w:bookmarkStart w:id="1" w:name="_Toc90289407"/>
      <w:bookmarkStart w:id="2" w:name="_Toc90289102"/>
      <w:bookmarkStart w:id="3" w:name="_Toc90289059"/>
      <w:bookmarkStart w:id="4" w:name="_Toc90288947"/>
      <w:bookmarkStart w:id="5" w:name="_Toc193278951"/>
      <w:bookmarkStart w:id="6" w:name="_Toc193278765"/>
      <w:bookmarkStart w:id="7" w:name="_Toc90362207"/>
      <w:bookmarkStart w:id="8" w:name="_Toc90361878"/>
      <w:bookmarkStart w:id="9" w:name="_Toc90361837"/>
      <w:bookmarkStart w:id="10" w:name="_Toc90361789"/>
      <w:bookmarkStart w:id="11" w:name="_Toc90360757"/>
      <w:bookmarkStart w:id="12" w:name="_Toc90360388"/>
      <w:bookmarkStart w:id="13" w:name="_Toc90289407"/>
      <w:bookmarkStart w:id="14" w:name="_Toc90289102"/>
      <w:bookmarkStart w:id="15" w:name="_Toc90289059"/>
      <w:bookmarkStart w:id="16" w:name="_Toc90288947"/>
      <w:bookmarkStart w:id="17" w:name="_Toc193278951"/>
      <w:bookmarkStart w:id="18" w:name="_Toc193278765"/>
      <w:bookmarkStart w:id="19" w:name="_Toc90362207"/>
      <w:bookmarkStart w:id="20" w:name="_Toc90361878"/>
      <w:bookmarkStart w:id="21" w:name="_Toc90361837"/>
      <w:bookmarkStart w:id="22" w:name="_Toc90361789"/>
      <w:bookmarkStart w:id="23" w:name="_Toc90360757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>
      <w:pPr>
        <w:pStyle w:val="Normal"/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ЛИСТ СОГЛАСОВАНИЯ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tbl>
      <w:tblPr>
        <w:tblStyle w:val="af5"/>
        <w:tblW w:w="923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22"/>
        <w:gridCol w:w="1779"/>
        <w:gridCol w:w="2583"/>
        <w:gridCol w:w="1589"/>
        <w:gridCol w:w="1463"/>
      </w:tblGrid>
      <w:tr>
        <w:trPr>
          <w:trHeight w:val="567" w:hRule="atLeast"/>
        </w:trPr>
        <w:tc>
          <w:tcPr>
            <w:tcW w:w="182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  <w:kern w:val="0"/>
                <w:lang w:val="ru-RU" w:eastAsia="ru-RU" w:bidi="ar-SA"/>
              </w:rPr>
              <w:t>Наименование организации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  <w:kern w:val="0"/>
                <w:lang w:val="ru-RU" w:eastAsia="ru-RU" w:bidi="ar-SA"/>
              </w:rPr>
              <w:t>Должность</w:t>
            </w:r>
          </w:p>
        </w:tc>
        <w:tc>
          <w:tcPr>
            <w:tcW w:w="25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  <w:kern w:val="0"/>
                <w:lang w:val="ru-RU" w:eastAsia="ru-RU" w:bidi="ar-SA"/>
              </w:rPr>
              <w:t>Фамилия и инициалы</w:t>
            </w:r>
          </w:p>
        </w:tc>
        <w:tc>
          <w:tcPr>
            <w:tcW w:w="158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  <w:kern w:val="0"/>
                <w:lang w:val="ru-RU" w:eastAsia="ru-RU" w:bidi="ar-SA"/>
              </w:rPr>
              <w:t>Подпись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  <w:kern w:val="0"/>
                <w:lang w:val="ru-RU" w:eastAsia="ru-RU" w:bidi="ar-SA"/>
              </w:rPr>
              <w:t>Дата</w:t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</w:tr>
      <w:tr>
        <w:trPr>
          <w:trHeight w:val="567" w:hRule="atLeast"/>
        </w:trPr>
        <w:tc>
          <w:tcPr>
            <w:tcW w:w="182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77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  <w:tc>
          <w:tcPr>
            <w:tcW w:w="146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" w:cs="Times New Roman" w:eastAsiaTheme="majorEastAsia"/>
              </w:rPr>
            </w:pPr>
            <w:r>
              <w:rPr>
                <w:rFonts w:eastAsia="" w:cs="Times New Roman" w:eastAsiaTheme="majorEastAsia"/>
                <w:kern w:val="0"/>
                <w:lang w:val="ru-RU" w:eastAsia="ru-RU" w:bidi="ar-SA"/>
              </w:rPr>
            </w:r>
          </w:p>
        </w:tc>
      </w:tr>
    </w:tbl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  <w:r>
        <w:br w:type="page"/>
      </w:r>
    </w:p>
    <w:p>
      <w:pPr>
        <w:pStyle w:val="Normal"/>
        <w:spacing w:before="0" w:after="0"/>
        <w:rPr>
          <w:rFonts w:cs="Times New Roman"/>
        </w:rPr>
      </w:pPr>
      <w:r>
        <w:rPr>
          <w:rFonts w:cs="Times New Roman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pageBreakBefore w:val="false"/>
            <w:rPr/>
          </w:pPr>
          <w:r>
            <w:rPr/>
            <w:t>Оглавление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webHidden/>
              <w:rStyle w:val="Style11"/>
            </w:rPr>
            <w:instrText xml:space="preserve"> TOC \z \o "1-1" \u \t "Заголовок 3,3,Заглавие,2" \h</w:instrText>
          </w:r>
          <w:r>
            <w:rPr>
              <w:webHidden/>
              <w:rStyle w:val="Style11"/>
            </w:rPr>
            <w:fldChar w:fldCharType="separate"/>
          </w:r>
          <w:hyperlink w:anchor="__RefHeading___Toc32401_3142906823">
            <w:r>
              <w:rPr>
                <w:webHidden/>
                <w:rStyle w:val="Style11"/>
              </w:rPr>
              <w:t>Перечень принятых сокращений</w:t>
              <w:tab/>
              <w:t>7</w:t>
            </w:r>
          </w:hyperlink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hyperlink w:anchor="__RefHeading___Toc1614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 Общие сведения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616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1.1 Основание для создания Системы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23327_3475925682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1.2 Перечень организаций, участвующих в разработке Системы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03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1.3 Плановые сроки начала и окончания работ по созданию Системы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05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1.4 Назначение и цели создания Системы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0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1.5 Очередность создания Системы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0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1.6 Соответствие проектных решений нормам и правилам техники безопасности, пожаро- и взрывобезопасности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11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1.7 Используемые при проектировании нормативно-технические документы</w:t>
              <w:tab/>
              <w:t>9</w:t>
            </w:r>
          </w:hyperlink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hyperlink w:anchor="__RefHeading___Toc1618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 Основные технические решения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13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 Техническая архитектура</w:t>
              <w:tab/>
              <w:t>11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15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2.1.1 Структура построения Системы</w:t>
              <w:tab/>
              <w:t>11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1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2.1.2 Подсистема медиасерверов</w:t>
              <w:tab/>
              <w:t>13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1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2.1.3 Подсистема виртуализации производственных ресурсов (ПВПР)</w:t>
              <w:tab/>
              <w:t>14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21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2.1.4 Подсистема хранения медиаконтента (ПХМ)</w:t>
              <w:tab/>
              <w:t>15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23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2.1.5 Подсистема сетевого хранения данных (СХД)</w:t>
              <w:tab/>
              <w:t>16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25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2.1.6 Подсистема трансляции и распределения контента (ПТРК)</w:t>
              <w:tab/>
              <w:t>17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2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2.1.7 Подсистема балансировки медианагрузки (ПБМН)</w:t>
              <w:tab/>
              <w:t>17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2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2.1.8 Подсистема виртуализации телекоммуникаций (ПВТ)</w:t>
              <w:tab/>
              <w:t>17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003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2.1.9 Подсистема резервного копирования(ПРК)</w:t>
              <w:tab/>
              <w:t>18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3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2.2 Взаимодействие со смежными системами</w:t>
              <w:tab/>
              <w:t>18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3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2.3 Технические средства</w:t>
              <w:tab/>
              <w:t>19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41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2.3.1 Аппаратное обеспечение</w:t>
              <w:tab/>
              <w:t>19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43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2.3.2 Программное обеспечение</w:t>
              <w:tab/>
              <w:t>19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45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2.4 Режимы функционирования</w:t>
              <w:tab/>
              <w:t>20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4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2.4.1 Штатный режим работы</w:t>
              <w:tab/>
              <w:t>20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4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2.4.2 Сервисный режим работы</w:t>
              <w:tab/>
              <w:t>20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51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2.4.3 Аварийный режим работы</w:t>
              <w:tab/>
              <w:t>21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53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2.5 Состав функций, реализуемых Системой</w:t>
              <w:tab/>
              <w:t>21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55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2.5.1 Функции Системы в целом</w:t>
              <w:tab/>
              <w:t>21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3245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2.5.2 Функции подсистем</w:t>
              <w:tab/>
              <w:t>21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7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2.6 Обеспечение потребительских характеристик Системы</w:t>
              <w:tab/>
              <w:t>23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1620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2.6.1 Обеспечение высокой доступности</w:t>
              <w:tab/>
              <w:t>23</w:t>
            </w:r>
          </w:hyperlink>
        </w:p>
        <w:p>
          <w:pPr>
            <w:pStyle w:val="TOC3"/>
            <w:tabs>
              <w:tab w:val="clear" w:pos="708"/>
              <w:tab w:val="right" w:pos="9353" w:leader="dot"/>
            </w:tabs>
            <w:rPr/>
          </w:pPr>
          <w:hyperlink w:anchor="__RefHeading___Toc1622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2.6.2 Масштабируемость</w:t>
              <w:tab/>
              <w:t>23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624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2.7 Персонал и квалификационные требования</w:t>
              <w:tab/>
              <w:t>23</w:t>
            </w:r>
          </w:hyperlink>
        </w:p>
        <w:p>
          <w:pPr>
            <w:pStyle w:val="TOC1"/>
            <w:tabs>
              <w:tab w:val="clear" w:pos="480"/>
              <w:tab w:val="clear" w:pos="9355"/>
              <w:tab w:val="right" w:pos="9353" w:leader="dot"/>
            </w:tabs>
            <w:rPr/>
          </w:pPr>
          <w:hyperlink w:anchor="__RefHeading___Toc1626_532524440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3 Мероприятия по подготовке объекта автоматизации к вводу Системы в действие</w:t>
              <w:tab/>
              <w:t>25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87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3.1 Инженерные системы</w:t>
              <w:tab/>
              <w:t>25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89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3.2 Сеть хранения данных</w:t>
              <w:tab/>
              <w:t>26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32491_3142906823">
            <w:r>
              <w:rPr>
                <w:webHidden/>
                <w:rStyle w:val="Style11"/>
              </w:rPr>
              <w:t xml:space="preserve"> </w:t>
            </w:r>
            <w:r>
              <w:rPr>
                <w:rStyle w:val="Style11"/>
              </w:rPr>
              <w:t>3.3 Виртуальная среда</w:t>
              <w:tab/>
              <w:t>27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jc w:val="center"/>
        <w:rPr>
          <w:rFonts w:cs="Times New Roman"/>
          <w:b/>
          <w:sz w:val="28"/>
          <w:shd w:fill="FFFF00" w:val="clear"/>
        </w:rPr>
      </w:pPr>
      <w:r>
        <w:rPr>
          <w:rFonts w:cs="Times New Roman"/>
          <w:b/>
          <w:sz w:val="28"/>
          <w:shd w:fill="FFFF00" w:val="clear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Style18"/>
        <w:ind w:hanging="0" w:left="576"/>
        <w:rPr/>
      </w:pPr>
      <w:r>
        <w:rPr/>
      </w:r>
      <w:r>
        <w:br w:type="page"/>
      </w:r>
    </w:p>
    <w:p>
      <w:pPr>
        <w:pStyle w:val="Style18"/>
        <w:spacing w:before="0" w:after="60"/>
        <w:ind w:hanging="576" w:left="576"/>
        <w:contextualSpacing/>
        <w:rPr/>
      </w:pPr>
      <w:bookmarkStart w:id="24" w:name="__RefHeading___Toc32401_3142906823"/>
      <w:bookmarkStart w:id="25" w:name="_Toc198590054"/>
      <w:bookmarkStart w:id="26" w:name="_Toc23149705"/>
      <w:bookmarkEnd w:id="24"/>
      <w:r>
        <w:rPr/>
        <w:t>Перечень принятых сокращений</w:t>
      </w:r>
      <w:bookmarkEnd w:id="25"/>
      <w:bookmarkEnd w:id="26"/>
    </w:p>
    <w:tbl>
      <w:tblPr>
        <w:tblW w:w="9568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911"/>
        <w:gridCol w:w="7656"/>
      </w:tblGrid>
      <w:tr>
        <w:trPr>
          <w:tblHeader w:val="true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jc w:val="center"/>
              <w:rPr>
                <w:szCs w:val="24"/>
              </w:rPr>
            </w:pPr>
            <w:r>
              <w:rPr>
                <w:rFonts w:cs="Times New Roman"/>
                <w:b/>
                <w:szCs w:val="24"/>
              </w:rPr>
              <w:t>Сокращение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Расшифровка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CDN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Content Delivery Network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HLS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HTTP Live Streaming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RTMP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Real-Time Messaging Protocol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SMPTE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Society of Motion Picture and Television Engineers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SDI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Serial Digital Interface</w:t>
            </w:r>
          </w:p>
        </w:tc>
      </w:tr>
      <w:tr>
        <w:trPr>
          <w:trHeight w:val="159" w:hRule="atLeast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NDI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Network Device Interface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PTP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Precision Time Protocol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QoS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Quality of Service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MCR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Master Control Room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NLE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Non-Linear Editing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SAN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Storage Area Network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NAS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Network-Attached Storage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VM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Virtual Machine</w:t>
            </w:r>
          </w:p>
        </w:tc>
      </w:tr>
      <w:tr>
        <w:trPr>
          <w:trHeight w:val="94" w:hRule="atLeast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VOD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Video on Demand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Роскомнадзор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Федеральная служба по надзору в сфере связи, ИТ и массовых коммуникаций</w:t>
            </w:r>
          </w:p>
        </w:tc>
      </w:tr>
      <w:tr>
        <w:trPr>
          <w:trHeight w:val="135" w:hRule="atLeast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ФСТЭК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Федеральная служба по техническому и экспортному контролю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ФСБ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Федеральная служба безопасности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Strong"/>
                <w:szCs w:val="24"/>
                <w:lang w:val="en-US"/>
              </w:rPr>
              <w:t>ГОСТ Р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Государственный стандарт России</w:t>
            </w:r>
          </w:p>
        </w:tc>
      </w:tr>
    </w:tbl>
    <w:p>
      <w:pPr>
        <w:pStyle w:val="Heading1"/>
        <w:ind w:hanging="0" w:left="0"/>
        <w:rPr/>
      </w:pPr>
      <w:bookmarkStart w:id="27" w:name="__RefHeading___Toc1614_532524440"/>
      <w:bookmarkStart w:id="28" w:name="_Toc198590055"/>
      <w:bookmarkStart w:id="29" w:name="_Toc23149706"/>
      <w:bookmarkEnd w:id="27"/>
      <w:r>
        <w:rPr/>
        <w:t>Общие сведения</w:t>
      </w:r>
      <w:bookmarkEnd w:id="28"/>
      <w:bookmarkEnd w:id="29"/>
    </w:p>
    <w:p>
      <w:pPr>
        <w:pStyle w:val="AFormula"/>
        <w:rPr/>
      </w:pPr>
      <w:bookmarkStart w:id="30" w:name="_Toc23149707"/>
      <w:r>
        <w:rPr/>
        <w:t>Наименование проектируемой Системы</w:t>
      </w:r>
      <w:bookmarkEnd w:id="30"/>
    </w:p>
    <w:p>
      <w:pPr>
        <w:pStyle w:val="Style16"/>
        <w:rPr/>
      </w:pPr>
      <w:r>
        <w:rPr/>
        <w:tab/>
        <w:t>Полное наименование системы: Инфраструктура ТВ-канала (далее – Система).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31" w:name="__RefHeading___Toc1616_532524440"/>
      <w:bookmarkStart w:id="32" w:name="_Toc198590056"/>
      <w:bookmarkStart w:id="33" w:name="_Toc23149708"/>
      <w:bookmarkEnd w:id="31"/>
      <w:r>
        <w:rPr/>
        <w:t>Основание для создания Системы</w:t>
      </w:r>
      <w:bookmarkEnd w:id="32"/>
      <w:bookmarkEnd w:id="33"/>
    </w:p>
    <w:p>
      <w:pPr>
        <w:pStyle w:val="Style16"/>
        <w:rPr/>
      </w:pPr>
      <w:r>
        <w:rPr/>
        <w:tab/>
        <w:t>Работы по созданию Системы проводятся на основании Технического задания и Указания о начале работ и создании РГ по Проекту Инфраструктура ТВ-канала.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34" w:name="__RefHeading___Toc23327_3475925682"/>
      <w:bookmarkStart w:id="35" w:name="_Toc198590057"/>
      <w:bookmarkStart w:id="36" w:name="_Toc23149709"/>
      <w:bookmarkEnd w:id="34"/>
      <w:r>
        <w:rPr/>
        <w:t>Перечень организаций, участвующих в разработке Системы</w:t>
      </w:r>
      <w:bookmarkEnd w:id="35"/>
      <w:bookmarkEnd w:id="36"/>
    </w:p>
    <w:p>
      <w:pPr>
        <w:pStyle w:val="Style16"/>
        <w:rPr/>
      </w:pPr>
      <w:r>
        <w:rPr/>
        <w:t>Организации, участвующие в создании Системы:</w:t>
      </w:r>
    </w:p>
    <w:p>
      <w:pPr>
        <w:pStyle w:val="Style16"/>
        <w:numPr>
          <w:ilvl w:val="0"/>
          <w:numId w:val="4"/>
        </w:numPr>
        <w:rPr>
          <w:rStyle w:val="Emphasis"/>
        </w:rPr>
      </w:pPr>
      <w:r>
        <w:rPr>
          <w:rStyle w:val="Emphasis"/>
        </w:rPr>
        <w:t>Заказчик.</w:t>
      </w:r>
    </w:p>
    <w:p>
      <w:pPr>
        <w:pStyle w:val="Style16"/>
        <w:numPr>
          <w:ilvl w:val="0"/>
          <w:numId w:val="4"/>
        </w:numPr>
        <w:rPr/>
      </w:pPr>
      <w:r>
        <w:rPr>
          <w:rStyle w:val="Emphasis"/>
        </w:rPr>
        <w:t>Исполнитель</w:t>
      </w:r>
      <w:r>
        <w:rPr>
          <w:rStyle w:val="Emphasis"/>
          <w:lang w:val="en-US"/>
        </w:rPr>
        <w:t>.</w:t>
      </w:r>
    </w:p>
    <w:p>
      <w:pPr>
        <w:pStyle w:val="Heading2"/>
        <w:numPr>
          <w:ilvl w:val="1"/>
          <w:numId w:val="1"/>
        </w:numPr>
        <w:rPr/>
      </w:pPr>
      <w:bookmarkStart w:id="37" w:name="__RefHeading___Toc32403_3142906823"/>
      <w:bookmarkStart w:id="38" w:name="_Toc198590058"/>
      <w:bookmarkStart w:id="39" w:name="_Toc23149710"/>
      <w:bookmarkEnd w:id="37"/>
      <w:r>
        <w:rPr/>
        <w:t>Плановые сроки начала и окончания работ по созданию Системы</w:t>
      </w:r>
      <w:bookmarkEnd w:id="38"/>
      <w:bookmarkEnd w:id="39"/>
    </w:p>
    <w:p>
      <w:pPr>
        <w:pStyle w:val="Style16"/>
        <w:rPr/>
      </w:pPr>
      <w:bookmarkStart w:id="40" w:name="_Toc363663069"/>
      <w:r>
        <w:rPr/>
        <w:t xml:space="preserve">Плановые сроки начала и окончания работ </w:t>
      </w:r>
      <w:bookmarkEnd w:id="40"/>
      <w:r>
        <w:rPr/>
        <w:t>определяются согласно Плана Проекта.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41" w:name="__RefHeading___Toc32405_3142906823"/>
      <w:bookmarkStart w:id="42" w:name="_Toc198590059"/>
      <w:bookmarkStart w:id="43" w:name="_Toc23149711"/>
      <w:bookmarkEnd w:id="41"/>
      <w:r>
        <w:rPr/>
        <w:t>Назначение и цели создания Системы</w:t>
      </w:r>
      <w:bookmarkEnd w:id="42"/>
      <w:bookmarkEnd w:id="43"/>
    </w:p>
    <w:p>
      <w:pPr>
        <w:pStyle w:val="Style16"/>
        <w:rPr/>
      </w:pPr>
      <w:r>
        <w:rPr/>
        <w:t>Система является программно-аппаратным комплексом и обеспечивает размещение и работоспособность информационных систем (ИС).</w:t>
      </w:r>
    </w:p>
    <w:p>
      <w:pPr>
        <w:pStyle w:val="Style16"/>
        <w:rPr>
          <w:rStyle w:val="Emphasis"/>
        </w:rPr>
      </w:pPr>
      <w:r>
        <w:rPr>
          <w:rStyle w:val="Emphasis"/>
        </w:rPr>
        <w:t>Целью создания Системы является:</w:t>
      </w:r>
    </w:p>
    <w:p>
      <w:pPr>
        <w:pStyle w:val="Style16"/>
        <w:numPr>
          <w:ilvl w:val="0"/>
          <w:numId w:val="2"/>
        </w:numPr>
        <w:rPr/>
      </w:pPr>
      <w:r>
        <w:rPr/>
        <w:t>Увеличение объема вычислительных ресурсов;</w:t>
      </w:r>
    </w:p>
    <w:p>
      <w:pPr>
        <w:pStyle w:val="Style16"/>
        <w:numPr>
          <w:ilvl w:val="0"/>
          <w:numId w:val="2"/>
        </w:numPr>
        <w:rPr/>
      </w:pPr>
      <w:r>
        <w:rPr/>
        <w:t>Повышение уровня доступности ИС.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44" w:name="__RefHeading___Toc32407_3142906823"/>
      <w:bookmarkStart w:id="45" w:name="_Toc198590060"/>
      <w:bookmarkStart w:id="46" w:name="_Toc23149712"/>
      <w:bookmarkEnd w:id="44"/>
      <w:r>
        <w:rPr/>
        <w:t>Очередность создания Системы</w:t>
      </w:r>
      <w:bookmarkEnd w:id="45"/>
      <w:bookmarkEnd w:id="46"/>
    </w:p>
    <w:p>
      <w:pPr>
        <w:pStyle w:val="Style16"/>
        <w:rPr/>
      </w:pPr>
      <w:r>
        <w:rPr/>
        <w:t>Создание Системы состоит из следующих стадий:</w:t>
      </w:r>
    </w:p>
    <w:p>
      <w:pPr>
        <w:pStyle w:val="Style16"/>
        <w:numPr>
          <w:ilvl w:val="0"/>
          <w:numId w:val="3"/>
        </w:numPr>
        <w:rPr/>
      </w:pPr>
      <w:r>
        <w:rPr/>
        <w:t>Техническое задание</w:t>
      </w:r>
      <w:r>
        <w:rPr>
          <w:lang w:val="en-US"/>
        </w:rPr>
        <w:t>;</w:t>
      </w:r>
    </w:p>
    <w:p>
      <w:pPr>
        <w:pStyle w:val="Style16"/>
        <w:numPr>
          <w:ilvl w:val="0"/>
          <w:numId w:val="3"/>
        </w:numPr>
        <w:rPr/>
      </w:pPr>
      <w:r>
        <w:rPr/>
        <w:t>Технический проект</w:t>
      </w:r>
      <w:r>
        <w:rPr>
          <w:lang w:val="en-US"/>
        </w:rPr>
        <w:t>;</w:t>
      </w:r>
    </w:p>
    <w:p>
      <w:pPr>
        <w:pStyle w:val="Style16"/>
        <w:numPr>
          <w:ilvl w:val="0"/>
          <w:numId w:val="3"/>
        </w:numPr>
        <w:rPr/>
      </w:pPr>
      <w:r>
        <w:rPr/>
        <w:t>Испытания и ввод в действие.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47" w:name="__RefHeading___Toc32409_3142906823"/>
      <w:bookmarkStart w:id="48" w:name="_Toc198590061"/>
      <w:bookmarkStart w:id="49" w:name="_Toc23149713"/>
      <w:bookmarkEnd w:id="47"/>
      <w:r>
        <w:rPr/>
        <w:t>Соответствие проектных решений нормам и правилам техники безопасности, пожаро- и взрывобезопасности</w:t>
      </w:r>
      <w:bookmarkEnd w:id="48"/>
      <w:bookmarkEnd w:id="49"/>
    </w:p>
    <w:p>
      <w:pPr>
        <w:pStyle w:val="Style16"/>
        <w:rPr/>
      </w:pPr>
      <w:r>
        <w:rPr/>
        <w:t>Предлагаемые проектные решения предусматривают использование унифицированных изделий или других компонентов, прошедших, в случаях, предусмотренных нормативными актами РФ, обязательную сертификацию на соответствие действующим требованиям, нормам и правилам техники безопасности, пожаро- и взрывобезопасности и т.п. и разрешенных к использованию на территории РФ.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50" w:name="__RefHeading___Toc32411_3142906823"/>
      <w:bookmarkStart w:id="51" w:name="_Toc198590062"/>
      <w:bookmarkStart w:id="52" w:name="_Toc23149714"/>
      <w:bookmarkEnd w:id="50"/>
      <w:r>
        <w:rPr/>
        <w:t>Используемые при проектировании нормативно-технические документы</w:t>
      </w:r>
      <w:bookmarkEnd w:id="51"/>
      <w:bookmarkEnd w:id="52"/>
    </w:p>
    <w:p>
      <w:pPr>
        <w:pStyle w:val="Style16"/>
        <w:rPr/>
      </w:pPr>
      <w:r>
        <w:rPr/>
        <w:t>При проектировании Системы использованы следующие нормативно-технические документы: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Р 59162-2020</w:t>
      </w:r>
      <w:r>
        <w:rPr>
          <w:rFonts w:cs="Times New Roman"/>
          <w:lang w:eastAsia="ru-RU"/>
        </w:rPr>
        <w:t xml:space="preserve"> – "Информационные технологии. Методы и средства обеспечения безопасности. Безопасность сетей. Часть 6. Обеспечение информационной безопасности при использовании беспроводных IP-сетей" (актуально для защиты передачи данных в инфраструктуре ТВ-вещания).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Р 57580.1-2017</w:t>
      </w:r>
      <w:r>
        <w:rPr>
          <w:rFonts w:cs="Times New Roman"/>
          <w:lang w:eastAsia="ru-RU"/>
        </w:rPr>
        <w:t xml:space="preserve"> – "Безопасность финансовых (банковских) операций. Защита информации финансовых организаций" (может применяться для защиты транзакционных и медийных данных) .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Р 34.12-2015, ГОСТ Р 34.13-2015</w:t>
      </w:r>
      <w:r>
        <w:rPr>
          <w:rFonts w:cs="Times New Roman"/>
          <w:lang w:eastAsia="ru-RU"/>
        </w:rPr>
        <w:t xml:space="preserve"> – Алгоритмы шифрования данных (используются в VPN-решениях для защиты каналов связи, что актуально для ТВ-вещания) .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22731-77</w:t>
      </w:r>
      <w:r>
        <w:rPr>
          <w:rFonts w:cs="Times New Roman"/>
          <w:lang w:eastAsia="ru-RU"/>
        </w:rPr>
        <w:t xml:space="preserve"> – "Системы передачи данных. Процедуры управления звеном передачи данных" (регулирует передачу данных в сетях).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27771-88</w:t>
      </w:r>
      <w:r>
        <w:rPr>
          <w:rFonts w:cs="Times New Roman"/>
          <w:lang w:eastAsia="ru-RU"/>
        </w:rPr>
        <w:t xml:space="preserve"> – "Процедурные характеристики на стыке между оконечным оборудованием данных и аппаратурой окончания канала данных" (важен для интеграции оборудования).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28470-90</w:t>
      </w:r>
      <w:r>
        <w:rPr>
          <w:rFonts w:cs="Times New Roman"/>
          <w:lang w:eastAsia="ru-RU"/>
        </w:rPr>
        <w:t xml:space="preserve"> – "Система технического обслуживания и ремонта технических средств вычислительной техники и информатики" (регламентирует эксплуатацию серверного и сетевого оборудования).</w:t>
      </w:r>
    </w:p>
    <w:p>
      <w:pPr>
        <w:pStyle w:val="Style16"/>
        <w:numPr>
          <w:ilvl w:val="0"/>
          <w:numId w:val="6"/>
        </w:numPr>
        <w:rPr/>
      </w:pPr>
      <w:r>
        <w:rPr>
          <w:rStyle w:val="Strong"/>
          <w:b w:val="false"/>
          <w:bCs w:val="false"/>
          <w:lang w:eastAsia="ru-RU"/>
        </w:rPr>
        <w:t>ГОСТ IEC 60950-1-2014</w:t>
      </w:r>
      <w:r>
        <w:rPr>
          <w:rFonts w:cs="Times New Roman"/>
          <w:lang w:eastAsia="ru-RU"/>
        </w:rPr>
        <w:t xml:space="preserve"> – "Оборудование информационных технологий. Требования безопасности" (обязателен для сертификации ИТ-оборудования)</w:t>
      </w:r>
    </w:p>
    <w:p>
      <w:pPr>
        <w:pStyle w:val="Style16"/>
        <w:ind w:hanging="0" w:left="720"/>
        <w:rPr/>
      </w:pPr>
      <w:r>
        <w:rPr/>
      </w:r>
    </w:p>
    <w:p>
      <w:pPr>
        <w:pStyle w:val="Style16"/>
        <w:ind w:hanging="0" w:left="72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  <w:r>
        <w:br w:type="page"/>
      </w:r>
    </w:p>
    <w:p>
      <w:pPr>
        <w:pStyle w:val="Heading1"/>
        <w:ind w:hanging="0" w:left="0"/>
        <w:rPr/>
      </w:pPr>
      <w:bookmarkStart w:id="53" w:name="__RefHeading___Toc1618_532524440"/>
      <w:bookmarkStart w:id="54" w:name="_Toc198590063"/>
      <w:bookmarkStart w:id="55" w:name="_Toc23149715"/>
      <w:bookmarkStart w:id="56" w:name="_Toc90289102_Копия_1"/>
      <w:bookmarkStart w:id="57" w:name="_Toc318385566_Копия_1"/>
      <w:bookmarkStart w:id="58" w:name="_Toc90288947_Копия_1"/>
      <w:bookmarkStart w:id="59" w:name="_Toc90360388_Копия_1"/>
      <w:bookmarkStart w:id="60" w:name="_Toc90289407_Копия_1"/>
      <w:bookmarkStart w:id="61" w:name="_Toc212538248"/>
      <w:bookmarkStart w:id="62" w:name="_Toc90289059_Копия_1"/>
      <w:bookmarkEnd w:id="53"/>
      <w:bookmarkEnd w:id="56"/>
      <w:bookmarkEnd w:id="57"/>
      <w:bookmarkEnd w:id="58"/>
      <w:bookmarkEnd w:id="59"/>
      <w:bookmarkEnd w:id="60"/>
      <w:bookmarkEnd w:id="61"/>
      <w:bookmarkEnd w:id="62"/>
      <w:r>
        <w:rPr/>
        <w:t>Основные технические решения</w:t>
      </w:r>
      <w:bookmarkEnd w:id="54"/>
      <w:bookmarkEnd w:id="55"/>
    </w:p>
    <w:p>
      <w:pPr>
        <w:pStyle w:val="BodyText"/>
        <w:spacing w:lineRule="auto" w:line="36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В рамках проекта создания ИТ-инфраструктуры ТВ-канала применяется единая политика именования технических и программных объектов, обеспечивающая стандартизацию, удобство администрирования и однозначную идентификацию компонентов системы. Политика именования базируется на внутренних документах «Стандарт именования серверов и сетевых устройств» и «Правила именования оборудования, виртуальных машин и сервисов в ИТ-инфраструктуре» (редакция 1.0).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Для обеспечения логичности и удобства управления используется иерархическая система именования. Физические серверы именуются по шаблону SRV-&lt;Функция&gt;-&lt;Номер&gt;, например SRV-MEDIA-01 для сервера обработки медиапотоков. Виртуальные машины получают имена по формату VM-&lt;Сервис&gt;-&lt;Среда&gt;-&lt;Номер&gt;, как VM-PLAYOUT-PROD-02 для ВМ эфирного вещания в продакшене. Сетевые устройства именуются по схеме SW-&lt;Тип&gt;-&lt;Локация&gt;-&lt;Номер&gt;, например SW-CORE-DC1-01 для основного коммутатора в дата-центре.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Для специализированного оборудования вещательного комплекса применяются дополнительные правила именования. Видеосерверы обозначаются как VS-&lt;Назначение&gt;-&lt;Зона&gt;-&lt;Номер&gt; (VS-PLAYOUT-AIR-01), а системы хранения медиаконтента - ST-&lt;Тип&gt;-&lt;Класс&gt;-&lt;Номер&gt; (ST-ARCHIVE-TIER2-01). Особое внимание уделяется именованию критичных компонентов: серверы эфирного вещания получают префикс AIR-, а оборудование резервного центра - DR-.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jc w:val="both"/>
        <w:rPr/>
      </w:pPr>
      <w:r>
        <w:rPr>
          <w:rFonts w:cs="Times New Roman" w:ascii="Times New Roman" w:hAnsi="Times New Roman"/>
          <w:szCs w:val="24"/>
          <w:lang w:eastAsia="ru-RU"/>
        </w:rPr>
        <w:t>В процессе разработки проектного решения предусматривается создание новых шаблонов именования для типов объектов, отсутствующих в текущих стандартах, таких как оборудование IP-вещания (IP-префикс) и облачные медиасервисы (CLOUD-префикс). Разработанные шаблоны будут включены в обновленные редакции документов политики именования. Для обеспечения преемственности новая система именования сохраняет совместимость с существующими стандартами компании, дополняя их отраслевой спецификой телевизионного вещания.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63" w:name="__RefHeading___Toc32413_3142906823"/>
      <w:bookmarkStart w:id="64" w:name="_Toc198590064"/>
      <w:bookmarkStart w:id="65" w:name="_Toc23149716"/>
      <w:bookmarkEnd w:id="63"/>
      <w:r>
        <w:rPr/>
        <w:t>Техническая архитектура</w:t>
      </w:r>
      <w:bookmarkEnd w:id="64"/>
      <w:bookmarkEnd w:id="65"/>
    </w:p>
    <w:p>
      <w:pPr>
        <w:pStyle w:val="32"/>
        <w:numPr>
          <w:ilvl w:val="2"/>
          <w:numId w:val="1"/>
        </w:numPr>
        <w:rPr/>
      </w:pPr>
      <w:bookmarkStart w:id="66" w:name="__RefHeading___Toc32415_3142906823"/>
      <w:bookmarkStart w:id="67" w:name="_Toc198590065"/>
      <w:bookmarkEnd w:id="66"/>
      <w:r>
        <w:rPr/>
        <w:t>Структура построения Системы</w:t>
      </w:r>
      <w:bookmarkEnd w:id="67"/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В состав ИТ-инфраструктуры телевизионного канала входят следующие ключевые подсистемы: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медиасерверов (ПМС)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виртуализации производственных ресурсов (ПВПР)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хранения медиаконтента (ПХМ)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сетевого хранения данных (СХД)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трансляции и распределения контента (ПТРК)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балансировки медианагрузки (ПБМН)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виртуализации телекоммуникаций (ПВТ)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резервного копирования(ПРК)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Концептуальная схема ИТ-инфраструктуры представлена на Рис. 1.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Система организована в виде изолированных производственных контуров: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Разработческий контур - для тестирования новых технологий и форматов вещания с ограниченным SLA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Основной производственный контур - для штатного вещания без требований по аттестации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Защищенный контур К3 - для вещания с повышенными требованиями безопасности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Критический контур К2 - для особо важных эфирных процессов с максимальным уровнем защиты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Схема взаимодействия контуров и распределения подсистем по контурам представлена на Рис. 2.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Инфраструктура телеканала реализована как автономный комплекс, обеспечивающий полный цикл производства и трансляции контента. Взаимодействие подсистем осуществляется через специализированные сети передачи медиаданных (MCR, NDI, SDI) и базовые сервисные системы (AD, KMS, PTP, DRM).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Оборудование системы размещается в аппаратно-студийном комплексе (АСК) и использует существующую инженерную инфраструктуру телецентра (стойки вещательного оборудования, системы бесперебойного питания, климат-контроль и др.).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Для построения системы используется специализированное вещательное и ИТ-оборудование, перечень которого приведен в Приложении А.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Особенности работы системы в различных режимах (штатное вещание, резервный эфир, аварийные ситуации) описаны в разделе 2.4.</w:t>
      </w:r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Размещение оборудования в аппаратных стойках и схема расположения оборудования в производственных помещениях приведены в Приложении Б.</w:t>
      </w:r>
    </w:p>
    <w:p>
      <w:pPr>
        <w:pStyle w:val="32"/>
        <w:numPr>
          <w:ilvl w:val="2"/>
          <w:numId w:val="1"/>
        </w:numPr>
        <w:rPr/>
      </w:pPr>
      <w:bookmarkStart w:id="68" w:name="__RefHeading___Toc32417_3142906823"/>
      <w:bookmarkStart w:id="69" w:name="_Toc198590066"/>
      <w:bookmarkEnd w:id="68"/>
      <w:r>
        <w:rPr/>
        <w:t>Подсистема медиасерверов</w:t>
      </w:r>
      <w:bookmarkEnd w:id="69"/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Подсистема медиасерверов (ПМС) является ключевым компонентом ИТ-инфраструктуры телеканала, обеспечивающим обработку, хранение и трансляцию видеоконтента в различных форматах вещания. В состав подсистемы входят высокопроизводительные серверные решения, специализированные для работы с видео потоками в реальном времени.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Основу подсистемы составляют:</w:t>
      </w:r>
    </w:p>
    <w:p>
      <w:pPr>
        <w:pStyle w:val="Normal"/>
        <w:numPr>
          <w:ilvl w:val="0"/>
          <w:numId w:val="2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серверы видеомонтажа и постпродакшна (NLE)</w:t>
      </w:r>
    </w:p>
    <w:p>
      <w:pPr>
        <w:pStyle w:val="Normal"/>
        <w:numPr>
          <w:ilvl w:val="0"/>
          <w:numId w:val="2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серверы плаayout для эфирного вещания</w:t>
      </w:r>
    </w:p>
    <w:p>
      <w:pPr>
        <w:pStyle w:val="Normal"/>
        <w:numPr>
          <w:ilvl w:val="0"/>
          <w:numId w:val="2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серверы трансляции IP-потоков (CDN-edge)</w:t>
      </w:r>
    </w:p>
    <w:p>
      <w:pPr>
        <w:pStyle w:val="Normal"/>
        <w:numPr>
          <w:ilvl w:val="0"/>
          <w:numId w:val="2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серверы архивирования и управления медиаконтентом (MAM)</w:t>
      </w:r>
    </w:p>
    <w:p>
      <w:pPr>
        <w:pStyle w:val="Normal"/>
        <w:numPr>
          <w:ilvl w:val="0"/>
          <w:numId w:val="2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серверы обработки графики и титрования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Все серверные решения реализованы на базе отказоустойчивых кластерных конфигураций с горячим резервированием критических компонентов. Для обеспечения бесперебойного вещания применяется схема активный-активный для основных эфирных серверов и активный-резервный для вспомогательных систем.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Серверное оборудование подсистемы размещается в основных и резервных аппаратных студиях телецентра, с распределением по производственным контурам:</w:t>
      </w:r>
    </w:p>
    <w:p>
      <w:pPr>
        <w:pStyle w:val="Normal"/>
        <w:numPr>
          <w:ilvl w:val="0"/>
          <w:numId w:val="2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 критическом контуре К2 работают серверы эфирного вещания (AIR-кластер)</w:t>
      </w:r>
    </w:p>
    <w:p>
      <w:pPr>
        <w:pStyle w:val="Normal"/>
        <w:numPr>
          <w:ilvl w:val="0"/>
          <w:numId w:val="2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 защищенном контуре К3 функционируют системы архивирования и резервного playout</w:t>
      </w:r>
    </w:p>
    <w:p>
      <w:pPr>
        <w:pStyle w:val="Normal"/>
        <w:numPr>
          <w:ilvl w:val="0"/>
          <w:numId w:val="2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 основном контуре расположены серверы подготовки контента</w:t>
      </w:r>
    </w:p>
    <w:p>
      <w:pPr>
        <w:pStyle w:val="Normal"/>
        <w:numPr>
          <w:ilvl w:val="0"/>
          <w:numId w:val="2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 разработческом контуре тестируются новые версии ПО и обновления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Подсистема интегрирована с ПХМ через высокоскоростные SAN-подключения 16/32 Gb FC, что обеспечивает необходимую пропускную способность для работы с несжатыми видео потоками. Управление подсистемой осуществляется через единую консоль администрирования, поддерживающую протоколы SNMP для мониторинга и автоматического оповещения.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Для обеспечения информационной безопасности все серверы подсистемы оснащены средствами криптографической защиты трафика (IPSec) и системой контроля целостности ПО. Доступ к управлению осуществляется через выделенные защищенные каналы с обязательной двухфакторной аутентификацией.</w:t>
      </w:r>
    </w:p>
    <w:p>
      <w:pPr>
        <w:pStyle w:val="32"/>
        <w:numPr>
          <w:ilvl w:val="2"/>
          <w:numId w:val="1"/>
        </w:numPr>
        <w:rPr/>
      </w:pPr>
      <w:bookmarkStart w:id="70" w:name="__RefHeading___Toc32419_3142906823"/>
      <w:bookmarkStart w:id="71" w:name="_Toc198590067"/>
      <w:bookmarkEnd w:id="70"/>
      <w:r>
        <w:rPr/>
        <w:t>Подсистема виртуализации производственных ресурсов (ПВПР)</w:t>
      </w:r>
      <w:bookmarkEnd w:id="71"/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ПВПР представляет собой унифицированную платформу для консолидации и управления вычислительными мощностями, обеспечивающую работу критически важных производственных процессов телеканала. Подсистема построена на базе отказоустойчивого кластера виртуализации с географически распределенными узлами.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Ключевые компоненты подсистемы включают:</w:t>
      </w:r>
    </w:p>
    <w:p>
      <w:pPr>
        <w:pStyle w:val="Normal"/>
        <w:numPr>
          <w:ilvl w:val="0"/>
          <w:numId w:val="2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кластер серверов виртуализации на базе промышленных стандартов (VMware vSphere)</w:t>
      </w:r>
    </w:p>
    <w:p>
      <w:pPr>
        <w:pStyle w:val="Normal"/>
        <w:numPr>
          <w:ilvl w:val="0"/>
          <w:numId w:val="2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систему распределенного хранения (vSAN) с гарантированной задержкой менее 5 мс</w:t>
      </w:r>
    </w:p>
    <w:p>
      <w:pPr>
        <w:pStyle w:val="Normal"/>
        <w:numPr>
          <w:ilvl w:val="0"/>
          <w:numId w:val="2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программно-определяемую сетевую инфраструктуру (NSX)</w:t>
      </w:r>
    </w:p>
    <w:p>
      <w:pPr>
        <w:pStyle w:val="Normal"/>
        <w:numPr>
          <w:ilvl w:val="0"/>
          <w:numId w:val="2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платформу контейнеризации для микросервисов (Kubernetes)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Особенностью ПВПР является поддержка специализированных требований медиапроизводства:</w:t>
      </w:r>
    </w:p>
    <w:p>
      <w:pPr>
        <w:pStyle w:val="Normal"/>
        <w:numPr>
          <w:ilvl w:val="0"/>
          <w:numId w:val="23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выделенные пулы ресурсов для обработки видео в реальном времени</w:t>
      </w:r>
    </w:p>
    <w:p>
      <w:pPr>
        <w:pStyle w:val="Normal"/>
        <w:numPr>
          <w:ilvl w:val="0"/>
          <w:numId w:val="23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GPU-ускорение для задач рендеринга и обработки графики</w:t>
      </w:r>
    </w:p>
    <w:p>
      <w:pPr>
        <w:pStyle w:val="Normal"/>
        <w:numPr>
          <w:ilvl w:val="0"/>
          <w:numId w:val="23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гарантированная полоса пропускания для потокового видео</w:t>
      </w:r>
    </w:p>
    <w:p>
      <w:pPr>
        <w:pStyle w:val="Normal"/>
        <w:numPr>
          <w:ilvl w:val="0"/>
          <w:numId w:val="23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изолированные среды для различных производственных контуров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Подсистема обеспечивает: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szCs w:val="24"/>
        </w:rPr>
        <w:t>Динамическое распределение ресурсов между:</w:t>
      </w:r>
    </w:p>
    <w:p>
      <w:pPr>
        <w:pStyle w:val="Normal"/>
        <w:numPr>
          <w:ilvl w:val="0"/>
          <w:numId w:val="1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эфирными сервисами (AIR-VM)</w:t>
      </w:r>
    </w:p>
    <w:p>
      <w:pPr>
        <w:pStyle w:val="Normal"/>
        <w:numPr>
          <w:ilvl w:val="0"/>
          <w:numId w:val="1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системами монтажа (EDIT-VM)</w:t>
      </w:r>
    </w:p>
    <w:p>
      <w:pPr>
        <w:pStyle w:val="Normal"/>
        <w:numPr>
          <w:ilvl w:val="0"/>
          <w:numId w:val="1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сервисами графики (GFX-VM)</w:t>
      </w:r>
    </w:p>
    <w:p>
      <w:pPr>
        <w:pStyle w:val="Normal"/>
        <w:numPr>
          <w:ilvl w:val="0"/>
          <w:numId w:val="12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 xml:space="preserve"> </w:t>
      </w:r>
      <w:r>
        <w:rPr>
          <w:szCs w:val="24"/>
        </w:rPr>
        <w:t>служебными приложениями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szCs w:val="24"/>
        </w:rPr>
        <w:t>Автоматическое масштабирование в пиковых нагрузках:</w:t>
      </w:r>
    </w:p>
    <w:p>
      <w:pPr>
        <w:pStyle w:val="Normal"/>
        <w:numPr>
          <w:ilvl w:val="0"/>
          <w:numId w:val="1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 xml:space="preserve"> </w:t>
      </w:r>
      <w:r>
        <w:rPr>
          <w:szCs w:val="24"/>
        </w:rPr>
        <w:t>при подготовке спецпроектов</w:t>
      </w:r>
    </w:p>
    <w:p>
      <w:pPr>
        <w:pStyle w:val="Normal"/>
        <w:numPr>
          <w:ilvl w:val="0"/>
          <w:numId w:val="1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во время крупных трансляций</w:t>
      </w:r>
    </w:p>
    <w:p>
      <w:pPr>
        <w:pStyle w:val="Normal"/>
        <w:numPr>
          <w:ilvl w:val="0"/>
          <w:numId w:val="11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при аварийных ситуациях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szCs w:val="24"/>
        </w:rPr>
        <w:t>Интеграцию с медиаинфраструктурой:</w:t>
      </w:r>
    </w:p>
    <w:p>
      <w:pPr>
        <w:pStyle w:val="Normal"/>
        <w:numPr>
          <w:ilvl w:val="0"/>
          <w:numId w:val="1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 xml:space="preserve"> </w:t>
      </w:r>
      <w:r>
        <w:rPr>
          <w:szCs w:val="24"/>
        </w:rPr>
        <w:t>прямое подключение к SAN-сети</w:t>
      </w:r>
    </w:p>
    <w:p>
      <w:pPr>
        <w:pStyle w:val="Normal"/>
        <w:numPr>
          <w:ilvl w:val="0"/>
          <w:numId w:val="1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поддержку профессиональных видеоинтерфейсов</w:t>
      </w:r>
    </w:p>
    <w:p>
      <w:pPr>
        <w:pStyle w:val="Normal"/>
        <w:numPr>
          <w:ilvl w:val="0"/>
          <w:numId w:val="10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синхронизацию с эфирным временем (PTP)</w:t>
      </w:r>
    </w:p>
    <w:p>
      <w:pPr>
        <w:pStyle w:val="Normal"/>
        <w:spacing w:lineRule="auto" w:line="360"/>
        <w:ind w:hanging="363"/>
        <w:jc w:val="both"/>
        <w:rPr/>
      </w:pPr>
      <w:r>
        <w:rPr>
          <w:szCs w:val="24"/>
        </w:rPr>
        <w:tab/>
        <w:tab/>
        <w:t>Безопасность обеспечивается:</w:t>
      </w:r>
    </w:p>
    <w:p>
      <w:pPr>
        <w:pStyle w:val="Normal"/>
        <w:numPr>
          <w:ilvl w:val="0"/>
          <w:numId w:val="9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сегментацией на уровне гипервизора</w:t>
      </w:r>
    </w:p>
    <w:p>
      <w:pPr>
        <w:pStyle w:val="Normal"/>
        <w:numPr>
          <w:ilvl w:val="0"/>
          <w:numId w:val="9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криптографией виртуальных машин</w:t>
      </w:r>
    </w:p>
    <w:p>
      <w:pPr>
        <w:pStyle w:val="Normal"/>
        <w:numPr>
          <w:ilvl w:val="0"/>
          <w:numId w:val="9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системой мониторинга целостности</w:t>
      </w:r>
    </w:p>
    <w:p>
      <w:pPr>
        <w:pStyle w:val="Normal"/>
        <w:numPr>
          <w:ilvl w:val="0"/>
          <w:numId w:val="9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репликацией в DR-центр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Управление осуществляется через централизованную панель с интеграцией в общую систему мониторинга телеканала. Подсистема поддерживает автоматическое восстановление после сбоев с SLA 99,99% для критичных сервисов.</w:t>
      </w:r>
    </w:p>
    <w:p>
      <w:pPr>
        <w:pStyle w:val="32"/>
        <w:numPr>
          <w:ilvl w:val="2"/>
          <w:numId w:val="1"/>
        </w:numPr>
        <w:rPr/>
      </w:pPr>
      <w:bookmarkStart w:id="72" w:name="__RefHeading___Toc32421_3142906823"/>
      <w:bookmarkStart w:id="73" w:name="_Toc198590068"/>
      <w:bookmarkEnd w:id="72"/>
      <w:r>
        <w:rPr/>
        <w:t>Подсистема хранения медиаконтента (ПХМ)</w:t>
      </w:r>
      <w:bookmarkEnd w:id="73"/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ПХМ представляет собой многоуровневую систему хранения и управления медиаактивами телеканала, обеспечивающую надежное хранение и оперативный доступ ко всему видеоконтенту. Подсистема построена по принципу гибридного хранилища с интеллектуальным распределением данных по уровням в зависимости от частоты использования и критичности.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Основные компоненты ПХМ включают:</w:t>
      </w:r>
    </w:p>
    <w:p>
      <w:pPr>
        <w:pStyle w:val="Normal"/>
        <w:numPr>
          <w:ilvl w:val="0"/>
          <w:numId w:val="24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высокопроизводительные SSD-массивы для онлайн-хранения текущего эфирного контента</w:t>
      </w:r>
    </w:p>
    <w:p>
      <w:pPr>
        <w:pStyle w:val="Normal"/>
        <w:numPr>
          <w:ilvl w:val="0"/>
          <w:numId w:val="24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дисковые системы класса nearline для оперативного доступа к архивным материалам</w:t>
      </w:r>
    </w:p>
    <w:p>
      <w:pPr>
        <w:pStyle w:val="Normal"/>
        <w:numPr>
          <w:ilvl w:val="0"/>
          <w:numId w:val="24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ленточные библиотеки LTO для долгосрочного архивирования</w:t>
      </w:r>
    </w:p>
    <w:p>
      <w:pPr>
        <w:pStyle w:val="Normal"/>
        <w:numPr>
          <w:ilvl w:val="0"/>
          <w:numId w:val="24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систему управления медиаактивами (MAM) с интеграцией в производственные процессы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Архитектура подсистемы организована по трехуровневому принципу: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1. Первичное хранилище (Tier 0):</w:t>
      </w:r>
    </w:p>
    <w:p>
      <w:pPr>
        <w:pStyle w:val="Normal"/>
        <w:numPr>
          <w:ilvl w:val="0"/>
          <w:numId w:val="18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</w:t>
      </w:r>
      <w:r>
        <w:rPr>
          <w:szCs w:val="24"/>
        </w:rPr>
        <w:t>Все-flash массивы 200+ TB</w:t>
      </w:r>
    </w:p>
    <w:p>
      <w:pPr>
        <w:pStyle w:val="Normal"/>
        <w:numPr>
          <w:ilvl w:val="0"/>
          <w:numId w:val="18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</w:t>
      </w:r>
      <w:r>
        <w:rPr>
          <w:szCs w:val="24"/>
        </w:rPr>
        <w:t>Задержка доступа &lt;1 мс</w:t>
      </w:r>
    </w:p>
    <w:p>
      <w:pPr>
        <w:pStyle w:val="Normal"/>
        <w:numPr>
          <w:ilvl w:val="0"/>
          <w:numId w:val="18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</w:t>
      </w:r>
      <w:r>
        <w:rPr>
          <w:szCs w:val="24"/>
        </w:rPr>
        <w:t>Поддержка одновременного доступа 50+ потоков 4K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2. Промежуточное хранилище (Tier 1):</w:t>
      </w:r>
    </w:p>
    <w:p>
      <w:pPr>
        <w:pStyle w:val="Normal"/>
        <w:numPr>
          <w:ilvl w:val="0"/>
          <w:numId w:val="17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</w:t>
      </w:r>
      <w:r>
        <w:rPr>
          <w:szCs w:val="24"/>
        </w:rPr>
        <w:t>Гибридные системы 2+ PB</w:t>
      </w:r>
    </w:p>
    <w:p>
      <w:pPr>
        <w:pStyle w:val="Normal"/>
        <w:numPr>
          <w:ilvl w:val="0"/>
          <w:numId w:val="17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</w:t>
      </w:r>
      <w:r>
        <w:rPr>
          <w:szCs w:val="24"/>
        </w:rPr>
        <w:t>Автоматическая миграция контента</w:t>
      </w:r>
    </w:p>
    <w:p>
      <w:pPr>
        <w:pStyle w:val="Normal"/>
        <w:numPr>
          <w:ilvl w:val="0"/>
          <w:numId w:val="17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</w:t>
      </w:r>
      <w:r>
        <w:rPr>
          <w:szCs w:val="24"/>
        </w:rPr>
        <w:t>Поддержка форматов XAVC, DNxHD, ProRes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3. Архивное хранилище (Tier 2):</w:t>
      </w:r>
    </w:p>
    <w:p>
      <w:pPr>
        <w:pStyle w:val="Normal"/>
        <w:numPr>
          <w:ilvl w:val="0"/>
          <w:numId w:val="16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 </w:t>
      </w:r>
      <w:r>
        <w:rPr>
          <w:szCs w:val="24"/>
        </w:rPr>
        <w:t>Роботизированные ленточные библиотеки 10+ PB</w:t>
      </w:r>
    </w:p>
    <w:p>
      <w:pPr>
        <w:pStyle w:val="Normal"/>
        <w:numPr>
          <w:ilvl w:val="0"/>
          <w:numId w:val="16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 </w:t>
      </w:r>
      <w:r>
        <w:rPr>
          <w:szCs w:val="24"/>
        </w:rPr>
        <w:t>Холодное хранение с возможностью восстановления за 15 мин</w:t>
      </w:r>
    </w:p>
    <w:p>
      <w:pPr>
        <w:pStyle w:val="Normal"/>
        <w:numPr>
          <w:ilvl w:val="0"/>
          <w:numId w:val="16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 xml:space="preserve">   </w:t>
      </w:r>
      <w:r>
        <w:rPr>
          <w:szCs w:val="24"/>
        </w:rPr>
        <w:t>Встроенная система проверки целостности данных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Ключевые особенности ПХМ:</w:t>
      </w:r>
    </w:p>
    <w:p>
      <w:pPr>
        <w:pStyle w:val="Normal"/>
        <w:numPr>
          <w:ilvl w:val="0"/>
          <w:numId w:val="14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Поддержка всех профессиональных видеоформатов от HD до 8K</w:t>
      </w:r>
    </w:p>
    <w:p>
      <w:pPr>
        <w:pStyle w:val="Normal"/>
        <w:numPr>
          <w:ilvl w:val="0"/>
          <w:numId w:val="14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Встроенные механизмы транскодирования "на лету"</w:t>
      </w:r>
    </w:p>
    <w:p>
      <w:pPr>
        <w:pStyle w:val="Normal"/>
        <w:numPr>
          <w:ilvl w:val="0"/>
          <w:numId w:val="14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Интеграция с облачными платформами для гибридного хранения</w:t>
      </w:r>
    </w:p>
    <w:p>
      <w:pPr>
        <w:pStyle w:val="Normal"/>
        <w:numPr>
          <w:ilvl w:val="0"/>
          <w:numId w:val="14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Система автоматического контроля битовой целостности файлов</w:t>
      </w:r>
    </w:p>
    <w:p>
      <w:pPr>
        <w:pStyle w:val="Normal"/>
        <w:numPr>
          <w:ilvl w:val="0"/>
          <w:numId w:val="14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Многоуровневая система кэширования для ускорения доступа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Безопасность данных обеспечивается:</w:t>
      </w:r>
    </w:p>
    <w:p>
      <w:pPr>
        <w:pStyle w:val="Normal"/>
        <w:numPr>
          <w:ilvl w:val="0"/>
          <w:numId w:val="15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Сквозным шифрованием AES-256</w:t>
      </w:r>
    </w:p>
    <w:p>
      <w:pPr>
        <w:pStyle w:val="Normal"/>
        <w:numPr>
          <w:ilvl w:val="0"/>
          <w:numId w:val="15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Географически распределенной репликацией</w:t>
      </w:r>
    </w:p>
    <w:p>
      <w:pPr>
        <w:pStyle w:val="Normal"/>
        <w:numPr>
          <w:ilvl w:val="0"/>
          <w:numId w:val="15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Системой версионного контроля</w:t>
      </w:r>
    </w:p>
    <w:p>
      <w:pPr>
        <w:pStyle w:val="Normal"/>
        <w:numPr>
          <w:ilvl w:val="0"/>
          <w:numId w:val="15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Защитой от ransomware-атак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Производительность подсистемы:</w:t>
      </w:r>
    </w:p>
    <w:p>
      <w:pPr>
        <w:pStyle w:val="Normal"/>
        <w:numPr>
          <w:ilvl w:val="0"/>
          <w:numId w:val="19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Пропускная способность: 40 Гбит/с</w:t>
      </w:r>
    </w:p>
    <w:p>
      <w:pPr>
        <w:pStyle w:val="Normal"/>
        <w:numPr>
          <w:ilvl w:val="0"/>
          <w:numId w:val="19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Поддержка до 500 параллельных сессий монтажа</w:t>
      </w:r>
    </w:p>
    <w:p>
      <w:pPr>
        <w:pStyle w:val="Normal"/>
        <w:numPr>
          <w:ilvl w:val="0"/>
          <w:numId w:val="19"/>
        </w:numPr>
        <w:spacing w:lineRule="auto" w:line="360"/>
        <w:ind w:hanging="0" w:left="1134"/>
        <w:jc w:val="both"/>
        <w:rPr>
          <w:szCs w:val="24"/>
        </w:rPr>
      </w:pPr>
      <w:r>
        <w:rPr>
          <w:szCs w:val="24"/>
        </w:rPr>
        <w:t>Время доступа к любому фрагменту архива &lt;30 сек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Управление осуществляется через единый web-интерфейс с интеграцией в автоматизированную систему вещания. Подсистема поддерживает все стандартные протоколы медиадоступа (SMB, NFS, FTP, API) и специализированные интерфейсы для профессионального оборудования.</w:t>
      </w:r>
    </w:p>
    <w:p>
      <w:pPr>
        <w:pStyle w:val="32"/>
        <w:numPr>
          <w:ilvl w:val="2"/>
          <w:numId w:val="1"/>
        </w:numPr>
        <w:rPr/>
      </w:pPr>
      <w:bookmarkStart w:id="74" w:name="__RefHeading___Toc32423_3142906823"/>
      <w:bookmarkStart w:id="75" w:name="_Toc198590069"/>
      <w:bookmarkEnd w:id="74"/>
      <w:r>
        <w:rPr/>
        <w:t>Подсистема сетевого хранения данных (СХД)</w:t>
      </w:r>
      <w:bookmarkEnd w:id="75"/>
    </w:p>
    <w:p>
      <w:pPr>
        <w:pStyle w:val="Normal"/>
        <w:spacing w:lineRule="auto" w:line="360"/>
        <w:jc w:val="both"/>
        <w:rPr>
          <w:szCs w:val="24"/>
          <w:shd w:fill="FFFF00" w:val="clear"/>
        </w:rPr>
      </w:pPr>
      <w:r>
        <w:rPr>
          <w:szCs w:val="24"/>
        </w:rPr>
        <w:tab/>
        <w:t>Подсистема обеспечивает централизованное хранение и управление данными производственных систем телеканала. Реализована на базе кластерной архитектуры с дублированием критических компонентов.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Основные характеристики включают:</w:t>
      </w:r>
    </w:p>
    <w:p>
      <w:pPr>
        <w:pStyle w:val="Normal"/>
        <w:numPr>
          <w:ilvl w:val="0"/>
          <w:numId w:val="26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Общую емкость 5 PB с поддержкой многоуровневого хранения</w:t>
      </w:r>
    </w:p>
    <w:p>
      <w:pPr>
        <w:pStyle w:val="Normal"/>
        <w:numPr>
          <w:ilvl w:val="0"/>
          <w:numId w:val="26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Использование протоколов FC 32Gb и iSCSI для различных классов нагрузки</w:t>
      </w:r>
    </w:p>
    <w:p>
      <w:pPr>
        <w:pStyle w:val="Normal"/>
        <w:numPr>
          <w:ilvl w:val="0"/>
          <w:numId w:val="26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Гарантированную доступность на уровне 99.99%</w:t>
      </w:r>
    </w:p>
    <w:p>
      <w:pPr>
        <w:pStyle w:val="Normal"/>
        <w:numPr>
          <w:ilvl w:val="0"/>
          <w:numId w:val="26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Интеграцию с системами виртуализации и медиаобработки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Подсистема обеспечивает:</w:t>
      </w:r>
    </w:p>
    <w:p>
      <w:pPr>
        <w:pStyle w:val="Normal"/>
        <w:numPr>
          <w:ilvl w:val="0"/>
          <w:numId w:val="25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Автоматическую репликацию между основным и резервным ЦОД</w:t>
      </w:r>
    </w:p>
    <w:p>
      <w:pPr>
        <w:pStyle w:val="Normal"/>
        <w:numPr>
          <w:ilvl w:val="0"/>
          <w:numId w:val="25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Динамическое распределение ресурсов хранения</w:t>
      </w:r>
    </w:p>
    <w:p>
      <w:pPr>
        <w:pStyle w:val="Normal"/>
        <w:numPr>
          <w:ilvl w:val="0"/>
          <w:numId w:val="25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Защиту данных с использованием механизмов шифрования и контроля целостности</w:t>
      </w:r>
    </w:p>
    <w:p>
      <w:pPr>
        <w:pStyle w:val="Normal"/>
        <w:numPr>
          <w:ilvl w:val="0"/>
          <w:numId w:val="25"/>
        </w:numPr>
        <w:spacing w:lineRule="auto" w:line="360"/>
        <w:ind w:hanging="0" w:left="850"/>
        <w:jc w:val="both"/>
        <w:rPr>
          <w:szCs w:val="24"/>
        </w:rPr>
      </w:pPr>
      <w:r>
        <w:rPr>
          <w:szCs w:val="24"/>
        </w:rPr>
        <w:t>Централизованное управление через единую консоль администрирования</w:t>
      </w:r>
    </w:p>
    <w:p>
      <w:pPr>
        <w:pStyle w:val="Normal"/>
        <w:spacing w:lineRule="auto" w:line="360"/>
        <w:jc w:val="both"/>
        <w:rPr>
          <w:szCs w:val="24"/>
        </w:rPr>
      </w:pPr>
      <w:r>
        <w:rPr>
          <w:szCs w:val="24"/>
        </w:rPr>
        <w:tab/>
        <w:t>Производительность системы рассчитана на одновременную работу с 200+ видеопотоками в формате 4K. Реализована поддержка мгновенных снапшотов и быстрого восстановления данных.</w:t>
      </w:r>
    </w:p>
    <w:p>
      <w:pPr>
        <w:pStyle w:val="32"/>
        <w:numPr>
          <w:ilvl w:val="2"/>
          <w:numId w:val="1"/>
        </w:numPr>
        <w:rPr/>
      </w:pPr>
      <w:bookmarkStart w:id="76" w:name="__RefHeading___Toc32425_3142906823"/>
      <w:bookmarkStart w:id="77" w:name="_Toc198590070"/>
      <w:bookmarkEnd w:id="76"/>
      <w:r>
        <w:rPr/>
        <w:t>Подсистема трансляции и распределения контента (ПТРК)</w:t>
      </w:r>
      <w:bookmarkEnd w:id="77"/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Обеспечивает доставку медиаконтента на все платформы вещания телеканала. Включает: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Серверы потокового вещания (HLS, DASH)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Системы IP-распределения (CDN-узлы)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Оборудование спутниковой и кабельной трансляции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Модули адаптивного битрейта</w:t>
      </w:r>
    </w:p>
    <w:p>
      <w:pPr>
        <w:pStyle w:val="32"/>
        <w:numPr>
          <w:ilvl w:val="2"/>
          <w:numId w:val="1"/>
        </w:numPr>
        <w:rPr/>
      </w:pPr>
      <w:bookmarkStart w:id="78" w:name="__RefHeading___Toc32427_3142906823"/>
      <w:bookmarkStart w:id="79" w:name="_Toc198590071"/>
      <w:bookmarkEnd w:id="78"/>
      <w:r>
        <w:rPr/>
        <w:t>Подсистема балансировки медианагрузки (ПБМН)</w:t>
      </w:r>
      <w:bookmarkEnd w:id="79"/>
    </w:p>
    <w:p>
      <w:pPr>
        <w:pStyle w:val="BodyText"/>
        <w:spacing w:lineRule="auto" w:line="360"/>
        <w:ind w:hanging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Реализует: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Распределение нагрузки между серверами трансляции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Автоматическое масштабирование ресурсов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Мониторинг QoS для каждого канала доставки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Защиту от перегрузок в пиковые часы</w:t>
      </w:r>
    </w:p>
    <w:p>
      <w:pPr>
        <w:pStyle w:val="32"/>
        <w:numPr>
          <w:ilvl w:val="2"/>
          <w:numId w:val="1"/>
        </w:numPr>
        <w:rPr/>
      </w:pPr>
      <w:bookmarkStart w:id="80" w:name="__RefHeading___Toc32429_3142906823"/>
      <w:bookmarkStart w:id="81" w:name="_Toc198590072"/>
      <w:bookmarkEnd w:id="80"/>
      <w:r>
        <w:rPr/>
        <w:t>Подсистема виртуализации телекоммуникаций (ПВТ)</w:t>
      </w:r>
      <w:bookmarkEnd w:id="81"/>
    </w:p>
    <w:p>
      <w:pPr>
        <w:pStyle w:val="BodyText"/>
        <w:spacing w:lineRule="auto" w:line="360"/>
        <w:ind w:hanging="0" w:left="850"/>
        <w:jc w:val="both"/>
        <w:rPr>
          <w:szCs w:val="24"/>
        </w:rPr>
      </w:pPr>
      <w:r>
        <w:rPr>
          <w:rFonts w:ascii="Times New Roman" w:hAnsi="Times New Roman"/>
          <w:szCs w:val="24"/>
        </w:rPr>
        <w:t>Обеспечивает: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Виртуализацию сетевых функций (NFV)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Программно-конфигурируемые медиасети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Динамическое управление QoS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360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Изолированные виртуальные сети для разных сервисов</w:t>
      </w:r>
    </w:p>
    <w:p>
      <w:pPr>
        <w:pStyle w:val="32"/>
        <w:numPr>
          <w:ilvl w:val="2"/>
          <w:numId w:val="1"/>
        </w:numPr>
        <w:rPr>
          <w:highlight w:val="none"/>
          <w:shd w:fill="E9B913" w:val="clear"/>
        </w:rPr>
      </w:pPr>
      <w:bookmarkStart w:id="82" w:name="__RefHeading___Toc3003_532524440"/>
      <w:bookmarkEnd w:id="82"/>
      <w:r>
        <w:rPr>
          <w:shd w:fill="E9B913" w:val="clear"/>
        </w:rPr>
        <w:t>Подсистема резервного копирования(ПРК)</w:t>
      </w:r>
    </w:p>
    <w:p>
      <w:pPr>
        <w:pStyle w:val="24"/>
        <w:numPr>
          <w:ilvl w:val="1"/>
          <w:numId w:val="1"/>
        </w:numPr>
        <w:ind w:hanging="0" w:left="0"/>
        <w:rPr>
          <w:shd w:fill="FFFF00" w:val="clear"/>
        </w:rPr>
      </w:pPr>
      <w:bookmarkStart w:id="83" w:name="__RefHeading___Toc32437_3142906823"/>
      <w:bookmarkStart w:id="84" w:name="_Toc198590073"/>
      <w:bookmarkStart w:id="85" w:name="_Toc23149728"/>
      <w:bookmarkEnd w:id="83"/>
      <w:r>
        <w:rPr/>
        <w:t>Взаимодействие со смежными системами</w:t>
      </w:r>
      <w:bookmarkEnd w:id="84"/>
      <w:bookmarkEnd w:id="85"/>
    </w:p>
    <w:p>
      <w:pPr>
        <w:pStyle w:val="Style16"/>
        <w:rPr/>
      </w:pPr>
      <w:r>
        <w:rPr>
          <w:rFonts w:eastAsia="Times New Roman" w:cs="Times New Roman"/>
          <w:color w:val="000000"/>
          <w:lang w:eastAsia="ru-RU"/>
        </w:rPr>
        <w:tab/>
        <w:t>Внедряемые компоненты ИТ-инфраструктуры телеканала интегрированы с существующими производственными системами и образуют единый медиакомплекс:</w:t>
      </w:r>
    </w:p>
    <w:p>
      <w:pPr>
        <w:pStyle w:val="Normal"/>
        <w:numPr>
          <w:ilvl w:val="0"/>
          <w:numId w:val="54"/>
        </w:numPr>
        <w:jc w:val="both"/>
        <w:rPr/>
      </w:pPr>
      <w:r>
        <w:rPr/>
        <w:t>Платформа виртуализации:</w:t>
      </w:r>
    </w:p>
    <w:p>
      <w:pPr>
        <w:pStyle w:val="Style16"/>
        <w:numPr>
          <w:ilvl w:val="0"/>
          <w:numId w:val="32"/>
        </w:numPr>
        <w:rPr/>
      </w:pPr>
      <w:r>
        <w:rPr>
          <w:rFonts w:eastAsia="Times New Roman" w:cs="Times New Roman"/>
          <w:lang w:eastAsia="ru-RU"/>
        </w:rPr>
        <w:t>Серверы vCenter ПВПР интегрированы в единый домен управления основного телецентра</w:t>
      </w:r>
    </w:p>
    <w:p>
      <w:pPr>
        <w:pStyle w:val="Style16"/>
        <w:numPr>
          <w:ilvl w:val="0"/>
          <w:numId w:val="32"/>
        </w:numPr>
        <w:rPr/>
      </w:pPr>
      <w:r>
        <w:rPr>
          <w:rFonts w:eastAsia="Times New Roman" w:cs="Times New Roman"/>
          <w:lang w:eastAsia="ru-RU"/>
        </w:rPr>
        <w:t>Системы мониторинга (vROps) передают данные в центральную систему управления медиапроизводством</w:t>
      </w:r>
    </w:p>
    <w:p>
      <w:pPr>
        <w:pStyle w:val="Normal"/>
        <w:numPr>
          <w:ilvl w:val="0"/>
          <w:numId w:val="13"/>
        </w:numPr>
        <w:jc w:val="both"/>
        <w:rPr/>
      </w:pPr>
      <w:r>
        <w:rPr/>
        <w:t>Сетевая инфраструктура:</w:t>
      </w:r>
    </w:p>
    <w:p>
      <w:pPr>
        <w:pStyle w:val="Style16"/>
        <w:numPr>
          <w:ilvl w:val="0"/>
          <w:numId w:val="32"/>
        </w:numPr>
        <w:rPr/>
      </w:pPr>
      <w:r>
        <w:rPr>
          <w:rFonts w:eastAsia="Times New Roman" w:cs="Times New Roman"/>
          <w:color w:val="000000"/>
          <w:lang w:eastAsia="ru-RU"/>
        </w:rPr>
        <w:t>Производственные сети (MCR, NDI) объединены с системами региональных студий</w:t>
      </w:r>
    </w:p>
    <w:p>
      <w:pPr>
        <w:pStyle w:val="Style16"/>
        <w:numPr>
          <w:ilvl w:val="0"/>
          <w:numId w:val="32"/>
        </w:numPr>
        <w:rPr/>
      </w:pPr>
      <w:r>
        <w:rPr>
          <w:rFonts w:eastAsia="Times New Roman" w:cs="Times New Roman"/>
          <w:color w:val="000000"/>
          <w:lang w:eastAsia="ru-RU"/>
        </w:rPr>
        <w:t>SAN-сети обеспечивают доступ к единому медиаархиву из всех производственных площадок</w:t>
      </w:r>
    </w:p>
    <w:p>
      <w:pPr>
        <w:pStyle w:val="Normal"/>
        <w:numPr>
          <w:ilvl w:val="0"/>
          <w:numId w:val="13"/>
        </w:numPr>
        <w:rPr/>
      </w:pPr>
      <w:r>
        <w:rPr/>
        <w:t>Служебные сервисы:</w:t>
      </w:r>
    </w:p>
    <w:p>
      <w:pPr>
        <w:pStyle w:val="Style16"/>
        <w:numPr>
          <w:ilvl w:val="0"/>
          <w:numId w:val="32"/>
        </w:numPr>
        <w:rPr/>
      </w:pPr>
      <w:r>
        <w:rPr>
          <w:rFonts w:eastAsia="Times New Roman" w:cs="Times New Roman"/>
          <w:color w:val="000000"/>
          <w:lang w:eastAsia="ru-RU"/>
        </w:rPr>
        <w:t>Доменные службы AD расширяют существующую инфраструктуру телехолдинга</w:t>
      </w:r>
    </w:p>
    <w:p>
      <w:pPr>
        <w:pStyle w:val="Style16"/>
        <w:numPr>
          <w:ilvl w:val="0"/>
          <w:numId w:val="32"/>
        </w:numPr>
        <w:rPr/>
      </w:pPr>
      <w:r>
        <w:rPr>
          <w:rFonts w:eastAsia="Times New Roman" w:cs="Times New Roman"/>
          <w:color w:val="000000"/>
          <w:lang w:eastAsia="ru-RU"/>
        </w:rPr>
        <w:t>DNS-сервисы интегрированы с корпоративной DNS-зоной</w:t>
      </w:r>
    </w:p>
    <w:p>
      <w:pPr>
        <w:pStyle w:val="Normal"/>
        <w:numPr>
          <w:ilvl w:val="0"/>
          <w:numId w:val="13"/>
        </w:numPr>
        <w:jc w:val="both"/>
        <w:rPr/>
      </w:pPr>
      <w:r>
        <w:rPr/>
        <w:t>Системы хранения:</w:t>
      </w:r>
    </w:p>
    <w:p>
      <w:pPr>
        <w:pStyle w:val="Style16"/>
        <w:numPr>
          <w:ilvl w:val="0"/>
          <w:numId w:val="31"/>
        </w:numPr>
        <w:rPr/>
      </w:pPr>
      <w:r>
        <w:rPr>
          <w:rFonts w:eastAsia="Times New Roman" w:cs="Times New Roman"/>
          <w:color w:val="000000"/>
          <w:lang w:eastAsia="ru-RU"/>
        </w:rPr>
        <w:t>Кластерные системы хранения (Huawei OceanStor) обеспечивают синхронизацию между основным и резервным медиацентрами</w:t>
      </w:r>
    </w:p>
    <w:p>
      <w:pPr>
        <w:pStyle w:val="Style16"/>
        <w:numPr>
          <w:ilvl w:val="0"/>
          <w:numId w:val="31"/>
        </w:numPr>
        <w:rPr/>
      </w:pPr>
      <w:r>
        <w:rPr>
          <w:rFonts w:eastAsia="Times New Roman" w:cs="Times New Roman"/>
          <w:color w:val="000000"/>
          <w:lang w:eastAsia="ru-RU"/>
        </w:rPr>
        <w:t>Реализована репликация критичного контента в режиме реального времени</w:t>
      </w:r>
    </w:p>
    <w:p>
      <w:pPr>
        <w:pStyle w:val="Normal"/>
        <w:numPr>
          <w:ilvl w:val="0"/>
          <w:numId w:val="13"/>
        </w:numPr>
        <w:rPr/>
      </w:pPr>
      <w:r>
        <w:rPr/>
        <w:t>Общие сервисы:</w:t>
      </w:r>
    </w:p>
    <w:p>
      <w:pPr>
        <w:pStyle w:val="Style16"/>
        <w:numPr>
          <w:ilvl w:val="0"/>
          <w:numId w:val="30"/>
        </w:numPr>
        <w:rPr/>
      </w:pPr>
      <w:r>
        <w:rPr>
          <w:rFonts w:eastAsia="Times New Roman" w:cs="Times New Roman"/>
          <w:color w:val="000000"/>
          <w:lang w:eastAsia="ru-RU"/>
        </w:rPr>
        <w:t>Единая система мониторинга охватывает все производственные площадки</w:t>
      </w:r>
    </w:p>
    <w:p>
      <w:pPr>
        <w:pStyle w:val="Style16"/>
        <w:numPr>
          <w:ilvl w:val="0"/>
          <w:numId w:val="30"/>
        </w:numPr>
        <w:rPr/>
      </w:pPr>
      <w:r>
        <w:rPr>
          <w:rFonts w:eastAsia="Times New Roman" w:cs="Times New Roman"/>
          <w:color w:val="000000"/>
          <w:lang w:eastAsia="ru-RU"/>
        </w:rPr>
        <w:t>Централизованное решение резервного копирования обслуживает весь медиакомплекс</w:t>
      </w:r>
    </w:p>
    <w:p>
      <w:pPr>
        <w:pStyle w:val="Style16"/>
        <w:numPr>
          <w:ilvl w:val="0"/>
          <w:numId w:val="30"/>
        </w:numPr>
        <w:rPr/>
      </w:pPr>
      <w:r>
        <w:rPr>
          <w:rFonts w:eastAsia="Times New Roman" w:cs="Times New Roman"/>
          <w:color w:val="000000"/>
          <w:lang w:eastAsia="ru-RU"/>
        </w:rPr>
        <w:t>Общая система аутентификации для всех производственных систем</w:t>
      </w:r>
    </w:p>
    <w:p>
      <w:pPr>
        <w:pStyle w:val="Style16"/>
        <w:rPr/>
      </w:pPr>
      <w:r>
        <w:rPr>
          <w:rFonts w:eastAsia="Times New Roman" w:cs="Times New Roman"/>
          <w:lang w:eastAsia="ru-RU"/>
        </w:rPr>
        <w:tab/>
        <w:t>Интеграция реализована с соблюдением требований безопасности вещательных систем. Для критичных эфирных сервисов обеспечена изоляция трафика при сохранении управляемости из единого центра.</w:t>
      </w:r>
    </w:p>
    <w:p>
      <w:pPr>
        <w:pStyle w:val="24"/>
        <w:numPr>
          <w:ilvl w:val="1"/>
          <w:numId w:val="1"/>
        </w:numPr>
        <w:ind w:hanging="0" w:left="0"/>
        <w:rPr>
          <w:shd w:fill="FFFF00" w:val="clear"/>
        </w:rPr>
      </w:pPr>
      <w:bookmarkStart w:id="86" w:name="__RefHeading___Toc32439_3142906823"/>
      <w:bookmarkStart w:id="87" w:name="_Toc198590074"/>
      <w:bookmarkStart w:id="88" w:name="_Toc23149729"/>
      <w:bookmarkEnd w:id="86"/>
      <w:r>
        <w:rPr/>
        <w:t>Технические средства</w:t>
      </w:r>
      <w:bookmarkEnd w:id="87"/>
      <w:bookmarkEnd w:id="88"/>
    </w:p>
    <w:p>
      <w:pPr>
        <w:pStyle w:val="32"/>
        <w:numPr>
          <w:ilvl w:val="2"/>
          <w:numId w:val="1"/>
        </w:numPr>
        <w:rPr/>
      </w:pPr>
      <w:bookmarkStart w:id="89" w:name="__RefHeading___Toc32441_3142906823"/>
      <w:bookmarkStart w:id="90" w:name="_Toc198590075"/>
      <w:bookmarkStart w:id="91" w:name="_Toc23149730"/>
      <w:bookmarkEnd w:id="89"/>
      <w:r>
        <w:rPr/>
        <w:t>Аппаратное обеспечение</w:t>
      </w:r>
      <w:bookmarkEnd w:id="90"/>
      <w:bookmarkEnd w:id="91"/>
    </w:p>
    <w:p>
      <w:pPr>
        <w:pStyle w:val="Style16"/>
        <w:rPr>
          <w:shd w:fill="FFFF00" w:val="clear"/>
        </w:rPr>
      </w:pPr>
      <w:r>
        <w:rPr/>
        <w:tab/>
        <w:t>Для построения ИТ-инфраструктуры телеканала используется следующее оборудование: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1. Серверные платформы:</w:t>
      </w:r>
    </w:p>
    <w:p>
      <w:pPr>
        <w:pStyle w:val="Style16"/>
        <w:rPr/>
      </w:pPr>
      <w:r>
        <w:rPr/>
        <w:t>- Блейд-системы Dell PowerEdge MX для медиаобработки</w:t>
      </w:r>
    </w:p>
    <w:p>
      <w:pPr>
        <w:pStyle w:val="Style16"/>
        <w:rPr/>
      </w:pPr>
      <w:r>
        <w:rPr/>
        <w:t>- Стоечные серверы HPE ProLiant для вещательных систем</w:t>
      </w:r>
    </w:p>
    <w:p>
      <w:pPr>
        <w:pStyle w:val="Style16"/>
        <w:rPr/>
      </w:pPr>
      <w:r>
        <w:rPr/>
        <w:t>- GPU-серверы NVIDIA для обработки графики</w:t>
      </w:r>
    </w:p>
    <w:p>
      <w:pPr>
        <w:pStyle w:val="Style16"/>
        <w:rPr/>
      </w:pPr>
      <w:r>
        <w:rPr/>
        <w:t>2. Системы хранения:</w:t>
      </w:r>
    </w:p>
    <w:p>
      <w:pPr>
        <w:pStyle w:val="Style16"/>
        <w:rPr/>
      </w:pPr>
      <w:r>
        <w:rPr/>
        <w:t>- Все-flash массивы NetApp AFF для онлайн-контента</w:t>
      </w:r>
    </w:p>
    <w:p>
      <w:pPr>
        <w:pStyle w:val="Style16"/>
        <w:rPr/>
      </w:pPr>
      <w:r>
        <w:rPr/>
        <w:t>- Гибридные системы HPE 3PAR для архивного хранения</w:t>
      </w:r>
    </w:p>
    <w:p>
      <w:pPr>
        <w:pStyle w:val="Style16"/>
        <w:rPr/>
      </w:pPr>
      <w:r>
        <w:rPr/>
        <w:t>- Ленточные библиотеки Quantum для долгосрочного архивирования</w:t>
      </w:r>
    </w:p>
    <w:p>
      <w:pPr>
        <w:pStyle w:val="Style16"/>
        <w:rPr/>
      </w:pPr>
      <w:r>
        <w:rPr/>
        <w:t>3. Сетевое оборудование:</w:t>
      </w:r>
    </w:p>
    <w:p>
      <w:pPr>
        <w:pStyle w:val="Style16"/>
        <w:rPr/>
      </w:pPr>
      <w:r>
        <w:rPr/>
        <w:t>- Коммутаторы Cisco Nexus для ядра сети</w:t>
      </w:r>
    </w:p>
    <w:p>
      <w:pPr>
        <w:pStyle w:val="Style16"/>
        <w:rPr/>
      </w:pPr>
      <w:r>
        <w:rPr/>
        <w:t>- Маршрутизаторы Juniper MX для внешних подключений</w:t>
      </w:r>
    </w:p>
    <w:p>
      <w:pPr>
        <w:pStyle w:val="Style16"/>
        <w:rPr/>
      </w:pPr>
      <w:r>
        <w:rPr/>
        <w:t>- Балансировщики нагрузки F5 BIG-IP для распределения трафика</w:t>
      </w:r>
    </w:p>
    <w:p>
      <w:pPr>
        <w:pStyle w:val="Style16"/>
        <w:rPr/>
      </w:pPr>
      <w:r>
        <w:rPr/>
        <w:t>4. Специализированное оборудование:</w:t>
      </w:r>
    </w:p>
    <w:p>
      <w:pPr>
        <w:pStyle w:val="Style16"/>
        <w:rPr/>
      </w:pPr>
      <w:r>
        <w:rPr/>
        <w:t>- Видеосерверы Imagine Communications для эфирного вещания</w:t>
      </w:r>
    </w:p>
    <w:p>
      <w:pPr>
        <w:pStyle w:val="Style16"/>
        <w:rPr/>
      </w:pPr>
      <w:r>
        <w:rPr/>
        <w:t>- Кодирующее оборудование Harmonic для IP-трансляции</w:t>
      </w:r>
    </w:p>
    <w:p>
      <w:pPr>
        <w:pStyle w:val="Style16"/>
        <w:rPr/>
      </w:pPr>
      <w:r>
        <w:rPr/>
        <w:t>- Аппаратные энкодеры Elemental для OTT-платформ</w:t>
      </w:r>
    </w:p>
    <w:p>
      <w:pPr>
        <w:pStyle w:val="Heading3"/>
        <w:rPr/>
      </w:pPr>
      <w:bookmarkStart w:id="92" w:name="__RefHeading___Toc32443_3142906823"/>
      <w:bookmarkStart w:id="93" w:name="_Toc198590076"/>
      <w:bookmarkStart w:id="94" w:name="_Toc23149731"/>
      <w:bookmarkEnd w:id="92"/>
      <w:r>
        <w:rPr>
          <w:color w:val="000000"/>
        </w:rPr>
        <w:t>Программное обеспечение</w:t>
      </w:r>
      <w:bookmarkEnd w:id="93"/>
      <w:bookmarkEnd w:id="94"/>
    </w:p>
    <w:p>
      <w:pPr>
        <w:pStyle w:val="Style16"/>
        <w:rPr/>
      </w:pPr>
      <w:r>
        <w:rPr/>
        <w:tab/>
        <w:t>Основное программное обеспечение включает:</w:t>
      </w:r>
    </w:p>
    <w:p>
      <w:pPr>
        <w:pStyle w:val="Normal"/>
        <w:numPr>
          <w:ilvl w:val="0"/>
          <w:numId w:val="55"/>
        </w:numPr>
        <w:spacing w:lineRule="auto" w:line="360"/>
        <w:jc w:val="both"/>
        <w:rPr/>
      </w:pPr>
      <w:r>
        <w:rPr/>
        <w:t>Платформы виртуализации:</w:t>
      </w:r>
    </w:p>
    <w:p>
      <w:pPr>
        <w:pStyle w:val="Style16"/>
        <w:numPr>
          <w:ilvl w:val="0"/>
          <w:numId w:val="33"/>
        </w:numPr>
        <w:rPr/>
      </w:pPr>
      <w:r>
        <w:rPr/>
        <w:t>VMware vSphere для инфраструктурных сервисов</w:t>
      </w:r>
    </w:p>
    <w:p>
      <w:pPr>
        <w:pStyle w:val="Style16"/>
        <w:numPr>
          <w:ilvl w:val="0"/>
          <w:numId w:val="33"/>
        </w:numPr>
        <w:rPr/>
      </w:pPr>
      <w:r>
        <w:rPr/>
        <w:t>Red Hat OpenShift для контейнерных приложений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/>
        <w:t>Медиаплатформы:</w:t>
      </w:r>
    </w:p>
    <w:p>
      <w:pPr>
        <w:pStyle w:val="Style16"/>
        <w:numPr>
          <w:ilvl w:val="0"/>
          <w:numId w:val="34"/>
        </w:numPr>
        <w:rPr/>
      </w:pPr>
      <w:r>
        <w:rPr/>
        <w:t>Система управления контентом Dalet</w:t>
      </w:r>
    </w:p>
    <w:p>
      <w:pPr>
        <w:pStyle w:val="Style16"/>
        <w:numPr>
          <w:ilvl w:val="0"/>
          <w:numId w:val="34"/>
        </w:numPr>
        <w:rPr/>
      </w:pPr>
      <w:r>
        <w:rPr/>
        <w:t>Платформа автоматизации вещания Pebble Beach</w:t>
      </w:r>
    </w:p>
    <w:p>
      <w:pPr>
        <w:pStyle w:val="Style16"/>
        <w:numPr>
          <w:ilvl w:val="0"/>
          <w:numId w:val="34"/>
        </w:numPr>
        <w:rPr/>
      </w:pPr>
      <w:r>
        <w:rPr/>
        <w:t>Решения для графики Vizrt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/>
        <w:t>Сетевые решения:</w:t>
      </w:r>
    </w:p>
    <w:p>
      <w:pPr>
        <w:pStyle w:val="Style16"/>
        <w:numPr>
          <w:ilvl w:val="0"/>
          <w:numId w:val="35"/>
        </w:numPr>
        <w:rPr/>
      </w:pPr>
      <w:r>
        <w:rPr/>
        <w:t>VMware NSX для SDN</w:t>
      </w:r>
    </w:p>
    <w:p>
      <w:pPr>
        <w:pStyle w:val="Style16"/>
        <w:numPr>
          <w:ilvl w:val="0"/>
          <w:numId w:val="35"/>
        </w:numPr>
        <w:rPr/>
      </w:pPr>
      <w:r>
        <w:rPr/>
        <w:t>Cisco ACI для программно-определяемых сетей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/>
        <w:t>Служебное ПО:</w:t>
      </w:r>
    </w:p>
    <w:p>
      <w:pPr>
        <w:pStyle w:val="Style16"/>
        <w:numPr>
          <w:ilvl w:val="0"/>
          <w:numId w:val="36"/>
        </w:numPr>
        <w:rPr/>
      </w:pPr>
      <w:r>
        <w:rPr/>
        <w:t>Veeam Backup для резервного копирования</w:t>
      </w:r>
    </w:p>
    <w:p>
      <w:pPr>
        <w:pStyle w:val="Style16"/>
        <w:numPr>
          <w:ilvl w:val="0"/>
          <w:numId w:val="36"/>
        </w:numPr>
        <w:rPr/>
      </w:pPr>
      <w:r>
        <w:rPr/>
        <w:t>Splunk для мониторинга и анализа</w:t>
      </w:r>
    </w:p>
    <w:p>
      <w:pPr>
        <w:pStyle w:val="Style16"/>
        <w:numPr>
          <w:ilvl w:val="0"/>
          <w:numId w:val="36"/>
        </w:numPr>
        <w:rPr/>
      </w:pPr>
      <w:r>
        <w:rPr/>
        <w:t>PTP-сервер Meinberg для синхронизации времени</w:t>
      </w:r>
    </w:p>
    <w:p>
      <w:pPr>
        <w:pStyle w:val="Style16"/>
        <w:rPr/>
      </w:pPr>
      <w:r>
        <w:rPr/>
        <w:tab/>
        <w:t>Все решения поддерживают необходимые сертификации для телевещания и соответствуют отраслевым стандартам. При развертывании используются актуальные стабильные версии ПО с возможностью установки критических обновлений.</w:t>
      </w:r>
    </w:p>
    <w:p>
      <w:pPr>
        <w:pStyle w:val="24"/>
        <w:numPr>
          <w:ilvl w:val="1"/>
          <w:numId w:val="1"/>
        </w:numPr>
        <w:ind w:hanging="0" w:left="0"/>
        <w:rPr>
          <w:shd w:fill="FFFF00" w:val="clear"/>
        </w:rPr>
      </w:pPr>
      <w:bookmarkStart w:id="95" w:name="__RefHeading___Toc32445_3142906823"/>
      <w:bookmarkStart w:id="96" w:name="_Toc198590077"/>
      <w:bookmarkStart w:id="97" w:name="_Toc23149732"/>
      <w:bookmarkEnd w:id="95"/>
      <w:r>
        <w:rPr/>
        <w:t>Режимы функционирования</w:t>
      </w:r>
      <w:bookmarkEnd w:id="96"/>
      <w:bookmarkEnd w:id="97"/>
    </w:p>
    <w:p>
      <w:pPr>
        <w:pStyle w:val="Style16"/>
        <w:rPr/>
      </w:pPr>
      <w:r>
        <w:rPr/>
        <w:t>Система функционирует в следующих режимах:</w:t>
      </w:r>
    </w:p>
    <w:p>
      <w:pPr>
        <w:pStyle w:val="Style16"/>
        <w:numPr>
          <w:ilvl w:val="0"/>
          <w:numId w:val="5"/>
        </w:numPr>
        <w:rPr/>
      </w:pPr>
      <w:r>
        <w:rPr/>
        <w:t>Штатный режим работы</w:t>
      </w:r>
      <w:r>
        <w:rPr>
          <w:lang w:val="en-US"/>
        </w:rPr>
        <w:t>;</w:t>
      </w:r>
    </w:p>
    <w:p>
      <w:pPr>
        <w:pStyle w:val="Style16"/>
        <w:numPr>
          <w:ilvl w:val="0"/>
          <w:numId w:val="5"/>
        </w:numPr>
        <w:rPr/>
      </w:pPr>
      <w:r>
        <w:rPr/>
        <w:t>Сервисный режим работы</w:t>
      </w:r>
      <w:r>
        <w:rPr>
          <w:lang w:val="en-US"/>
        </w:rPr>
        <w:t>;</w:t>
      </w:r>
    </w:p>
    <w:p>
      <w:pPr>
        <w:pStyle w:val="Style16"/>
        <w:numPr>
          <w:ilvl w:val="0"/>
          <w:numId w:val="5"/>
        </w:numPr>
        <w:rPr/>
      </w:pPr>
      <w:r>
        <w:rPr/>
        <w:t>Аварийный режим работы</w:t>
      </w:r>
      <w:r>
        <w:rPr>
          <w:lang w:val="en-US"/>
        </w:rPr>
        <w:t>.</w:t>
      </w:r>
    </w:p>
    <w:p>
      <w:pPr>
        <w:pStyle w:val="32"/>
        <w:numPr>
          <w:ilvl w:val="2"/>
          <w:numId w:val="1"/>
        </w:numPr>
        <w:rPr/>
      </w:pPr>
      <w:bookmarkStart w:id="98" w:name="__RefHeading___Toc32447_3142906823"/>
      <w:bookmarkStart w:id="99" w:name="_Toc198590078"/>
      <w:bookmarkStart w:id="100" w:name="_Toc23149733"/>
      <w:bookmarkEnd w:id="98"/>
      <w:r>
        <w:rPr/>
        <w:t>Штатный режим работы</w:t>
      </w:r>
      <w:bookmarkEnd w:id="99"/>
      <w:bookmarkEnd w:id="100"/>
    </w:p>
    <w:p>
      <w:pPr>
        <w:pStyle w:val="Style16"/>
        <w:rPr/>
      </w:pPr>
      <w:r>
        <w:rPr/>
        <w:tab/>
        <w:t>Основным режимом функционирования Системы является штатный режим. В штатном режиме Система обеспечивает требуемую полноту и качество выполняемых функций и обеспечивает требуемые показатели производительности.</w:t>
      </w:r>
    </w:p>
    <w:p>
      <w:pPr>
        <w:pStyle w:val="Style16"/>
        <w:rPr/>
      </w:pPr>
      <w:r>
        <w:rPr/>
        <w:tab/>
        <w:t>Технический персонал, ответственный за эксплуатацию Системы, осуществляет стандартные операции по мониторингу и администрированию.</w:t>
      </w:r>
    </w:p>
    <w:p>
      <w:pPr>
        <w:pStyle w:val="32"/>
        <w:numPr>
          <w:ilvl w:val="2"/>
          <w:numId w:val="1"/>
        </w:numPr>
        <w:rPr/>
      </w:pPr>
      <w:bookmarkStart w:id="101" w:name="__RefHeading___Toc32449_3142906823"/>
      <w:bookmarkStart w:id="102" w:name="_Toc198590079"/>
      <w:bookmarkStart w:id="103" w:name="_Toc23149734"/>
      <w:bookmarkEnd w:id="101"/>
      <w:r>
        <w:rPr/>
        <w:t>Сервисный режим работы</w:t>
      </w:r>
      <w:bookmarkEnd w:id="102"/>
      <w:bookmarkEnd w:id="103"/>
    </w:p>
    <w:p>
      <w:pPr>
        <w:pStyle w:val="Style16"/>
        <w:rPr/>
      </w:pPr>
      <w:r>
        <w:rPr/>
        <w:tab/>
        <w:t xml:space="preserve">Сервисный режим работы предназначен для проведения плановых технических работ, включая обновление программного обеспечения, замену оборудования, профилактическое обслуживание и изменение конфигурации компонентов ИТ-инфраструктуры телеканала.  </w:t>
      </w:r>
    </w:p>
    <w:p>
      <w:pPr>
        <w:pStyle w:val="Style16"/>
        <w:rPr/>
      </w:pPr>
      <w:r>
        <w:rPr/>
        <w:tab/>
        <w:t xml:space="preserve">Все сервисные работы должны быть заранее согласованы с техническими службами телеканала и запланированы с учетом эфирного графика. В случае выполнения работ на резервируемых компонентах системы полная остановка вещания не требуется.  </w:t>
      </w:r>
    </w:p>
    <w:p>
      <w:pPr>
        <w:pStyle w:val="Style16"/>
        <w:rPr/>
      </w:pPr>
      <w:r>
        <w:rPr/>
        <w:tab/>
        <w:t>Для критически важных систем вещания сервисные работы выполняются только в технологические окна, утвержденные руководством телеканала. При проведении работ обеспечивается постоянный мониторинг состояния оборудования и готовность к экстренному восстановлению штатного режима работы.</w:t>
      </w:r>
    </w:p>
    <w:p>
      <w:pPr>
        <w:pStyle w:val="32"/>
        <w:numPr>
          <w:ilvl w:val="2"/>
          <w:numId w:val="1"/>
        </w:numPr>
        <w:rPr/>
      </w:pPr>
      <w:bookmarkStart w:id="104" w:name="__RefHeading___Toc32451_3142906823"/>
      <w:bookmarkStart w:id="105" w:name="_Toc198590080"/>
      <w:bookmarkStart w:id="106" w:name="_Toc23149735"/>
      <w:bookmarkEnd w:id="104"/>
      <w:r>
        <w:rPr/>
        <w:t>Аварийный режим работы</w:t>
      </w:r>
      <w:bookmarkEnd w:id="105"/>
      <w:bookmarkEnd w:id="106"/>
    </w:p>
    <w:p>
      <w:pPr>
        <w:pStyle w:val="Style16"/>
        <w:rPr/>
      </w:pPr>
      <w:r>
        <w:rPr/>
        <w:tab/>
        <w:t>Под аварийным режимом работы понимается функционирование Системы в случае возникновения отказов, сбоев и аварий.</w:t>
      </w:r>
    </w:p>
    <w:p>
      <w:pPr>
        <w:pStyle w:val="Style16"/>
        <w:rPr/>
      </w:pPr>
      <w:r>
        <w:rPr/>
        <w:tab/>
        <w:t>Перечень аварийных ситуаций, предусмотренная проектом реакция Системы и действия технического персонала указаны в документе «Регламент внештатного обслуживания».</w:t>
      </w:r>
    </w:p>
    <w:p>
      <w:pPr>
        <w:pStyle w:val="24"/>
        <w:numPr>
          <w:ilvl w:val="1"/>
          <w:numId w:val="1"/>
        </w:numPr>
        <w:ind w:hanging="0" w:left="0"/>
        <w:rPr>
          <w:shd w:fill="FFFF00" w:val="clear"/>
        </w:rPr>
      </w:pPr>
      <w:bookmarkStart w:id="107" w:name="__RefHeading___Toc32453_3142906823"/>
      <w:bookmarkStart w:id="108" w:name="_Toc23149736"/>
      <w:bookmarkStart w:id="109" w:name="_Toc198590081"/>
      <w:bookmarkEnd w:id="107"/>
      <w:r>
        <w:rPr/>
        <w:t>Состав функций, реализуемых Системой</w:t>
      </w:r>
      <w:bookmarkEnd w:id="108"/>
      <w:bookmarkEnd w:id="109"/>
      <w:r>
        <w:rPr/>
        <w:t xml:space="preserve"> </w:t>
      </w:r>
    </w:p>
    <w:p>
      <w:pPr>
        <w:pStyle w:val="32"/>
        <w:numPr>
          <w:ilvl w:val="2"/>
          <w:numId w:val="1"/>
        </w:numPr>
        <w:rPr/>
      </w:pPr>
      <w:bookmarkStart w:id="110" w:name="__RefHeading___Toc32455_3142906823"/>
      <w:bookmarkStart w:id="111" w:name="_Toc198590082"/>
      <w:bookmarkStart w:id="112" w:name="_Toc23149737"/>
      <w:bookmarkEnd w:id="110"/>
      <w:r>
        <w:rPr/>
        <w:t>Функции Системы в целом</w:t>
      </w:r>
      <w:bookmarkEnd w:id="111"/>
      <w:bookmarkEnd w:id="112"/>
    </w:p>
    <w:p>
      <w:pPr>
        <w:pStyle w:val="Style16"/>
        <w:rPr/>
      </w:pPr>
      <w:r>
        <w:rPr/>
        <w:tab/>
        <w:t>Система в целом обеспечивает размещение и работу тестовых и продуктивных ИС, а также высокодоступное подключение к ним пользователей.</w:t>
      </w:r>
    </w:p>
    <w:p>
      <w:pPr>
        <w:pStyle w:val="32"/>
        <w:numPr>
          <w:ilvl w:val="2"/>
          <w:numId w:val="1"/>
        </w:numPr>
        <w:rPr/>
      </w:pPr>
      <w:bookmarkStart w:id="113" w:name="__RefHeading___Toc32457_3142906823"/>
      <w:bookmarkStart w:id="114" w:name="_Toc198590083"/>
      <w:bookmarkStart w:id="115" w:name="_Toc23149738"/>
      <w:bookmarkEnd w:id="113"/>
      <w:r>
        <w:rPr/>
        <w:t>Функции подсистем</w:t>
      </w:r>
      <w:bookmarkEnd w:id="114"/>
      <w:bookmarkEnd w:id="115"/>
    </w:p>
    <w:p>
      <w:pPr>
        <w:pStyle w:val="43"/>
        <w:numPr>
          <w:ilvl w:val="3"/>
          <w:numId w:val="1"/>
        </w:numPr>
        <w:rPr/>
      </w:pPr>
      <w:bookmarkStart w:id="116" w:name="__RefHeading___Toc32459_3142906823"/>
      <w:bookmarkEnd w:id="116"/>
      <w:r>
        <w:rPr/>
        <w:t>Функции подсистемы серверов</w:t>
      </w:r>
    </w:p>
    <w:p>
      <w:pPr>
        <w:pStyle w:val="BodyText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Подсистема медиасерверов обеспечивает: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обработку и трансляцию видеопотоков в реальном времени;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работу систем видеомонтажа и графики;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управление эфирными плейаутами;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интеграцию с системами хранения медиаконтента.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</w:rPr>
        <w:t>Функции подсистемы виртуализации производственных ресурсов (ПВПР)</w:t>
      </w:r>
    </w:p>
    <w:p>
      <w:pPr>
        <w:pStyle w:val="Style17"/>
        <w:ind w:hanging="0"/>
        <w:rPr/>
      </w:pPr>
      <w:r>
        <w:rPr/>
        <w:tab/>
        <w:t>Подсистема виртуализации обеспечивает: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создание и управление виртуальными средами для медиаобработки;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автоматическое распределение вычислительных ресурсов;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отказоустойчивость за счет кластерной архитектуры;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поддержку GPU-ускорения для задач рендеринга.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</w:rPr>
        <w:t>Функции подсистемы хранения медиаконтента (ПХМ)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ind w:hanging="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ab/>
        <w:t>Подсистема хранения обеспечивает:</w:t>
      </w:r>
    </w:p>
    <w:p>
      <w:pPr>
        <w:pStyle w:val="BodyText"/>
        <w:numPr>
          <w:ilvl w:val="0"/>
          <w:numId w:val="3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многоуровневое хранение видеоархивов;</w:t>
      </w:r>
    </w:p>
    <w:p>
      <w:pPr>
        <w:pStyle w:val="BodyText"/>
        <w:numPr>
          <w:ilvl w:val="0"/>
          <w:numId w:val="3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быстрый доступ к текущему эфирному контенту;</w:t>
      </w:r>
    </w:p>
    <w:p>
      <w:pPr>
        <w:pStyle w:val="BodyText"/>
        <w:numPr>
          <w:ilvl w:val="0"/>
          <w:numId w:val="3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автоматическую миграцию данных между уровнями хранения;</w:t>
      </w:r>
    </w:p>
    <w:p>
      <w:pPr>
        <w:pStyle w:val="BodyText"/>
        <w:numPr>
          <w:ilvl w:val="0"/>
          <w:numId w:val="3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интеграцию с системами монтажа и вещания.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</w:rPr>
        <w:t>Функции подсистемы сетевого хранения данных (СХД)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ind w:hanging="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ab/>
        <w:t>Подсистема СХД обеспечивает: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высокоскоростной доступ к медиаданным;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синхронную репликацию между площадками;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отказоустойчивую архитектуру хранения;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поддержку профессиональных видеоинтерфейсов.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</w:rPr>
        <w:t>Функции подсистемы трансляции и распределения контента (ПТРК)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ind w:hanging="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ab/>
        <w:t>Подсистема трансляции обеспечивает: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доставку контента на все платформы вещания;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адаптацию потоков под разные форматы;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управление CDN-инфраструктурой;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мониторинг качества трансляции.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</w:rPr>
        <w:t>Функции подсистемы балансировки медианагрузки (ПБМН)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ind w:hanging="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ab/>
        <w:t>Подсистема балансировки обеспечивает: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распределение нагрузки между серверами трансляции;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автоматическое масштабирование ресурсов;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защиту от перегрузок в пиковые часы;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мониторинг QoS для каждого канала доставки.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</w:rPr>
        <w:t>Функции подсистемы виртуализации телекоммуникаций (ПВТ)</w:t>
      </w:r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ind w:hanging="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ab/>
        <w:t>Подсистема виртуализации сетей обеспечивает:</w:t>
      </w:r>
    </w:p>
    <w:p>
      <w:pPr>
        <w:pStyle w:val="BodyText"/>
        <w:numPr>
          <w:ilvl w:val="0"/>
          <w:numId w:val="43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создание изолированных виртуальных сетей для разных сервисов;</w:t>
      </w:r>
    </w:p>
    <w:p>
      <w:pPr>
        <w:pStyle w:val="BodyText"/>
        <w:numPr>
          <w:ilvl w:val="0"/>
          <w:numId w:val="43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динамическое управление QoS;</w:t>
      </w:r>
    </w:p>
    <w:p>
      <w:pPr>
        <w:pStyle w:val="BodyText"/>
        <w:numPr>
          <w:ilvl w:val="0"/>
          <w:numId w:val="43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программно-конфигурируемые медиасети;</w:t>
      </w:r>
    </w:p>
    <w:p>
      <w:pPr>
        <w:pStyle w:val="BodyText"/>
        <w:numPr>
          <w:ilvl w:val="0"/>
          <w:numId w:val="43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интеграцию с оборудованием SDI через специализированные шлюзы.</w:t>
      </w:r>
    </w:p>
    <w:p>
      <w:pPr>
        <w:pStyle w:val="43"/>
        <w:numPr>
          <w:ilvl w:val="3"/>
          <w:numId w:val="1"/>
        </w:numPr>
        <w:rPr/>
      </w:pPr>
      <w:r>
        <w:rPr>
          <w:rStyle w:val="Strong"/>
          <w:b/>
          <w:shd w:fill="E9B913" w:val="clear"/>
        </w:rPr>
        <w:t>Функции подсистемы резервного копирования(ПРК)</w:t>
      </w:r>
    </w:p>
    <w:p>
      <w:pPr>
        <w:pStyle w:val="24"/>
        <w:numPr>
          <w:ilvl w:val="1"/>
          <w:numId w:val="1"/>
        </w:numPr>
        <w:ind w:hanging="0" w:left="0"/>
        <w:rPr>
          <w:shd w:fill="FFFF00" w:val="clear"/>
        </w:rPr>
      </w:pPr>
      <w:bookmarkStart w:id="117" w:name="__RefHeading___Toc32479_3142906823"/>
      <w:bookmarkStart w:id="118" w:name="_Toc198590084"/>
      <w:bookmarkStart w:id="119" w:name="_Toc23149739"/>
      <w:bookmarkEnd w:id="117"/>
      <w:r>
        <w:rPr/>
        <w:t>Обеспечение потребительских характеристик Системы</w:t>
      </w:r>
      <w:bookmarkEnd w:id="118"/>
      <w:bookmarkEnd w:id="119"/>
    </w:p>
    <w:p>
      <w:pPr>
        <w:pStyle w:val="32"/>
        <w:numPr>
          <w:ilvl w:val="2"/>
          <w:numId w:val="1"/>
        </w:numPr>
        <w:rPr/>
      </w:pPr>
      <w:bookmarkStart w:id="120" w:name="__RefHeading___Toc1620_532524440"/>
      <w:bookmarkStart w:id="121" w:name="_Toc198590085"/>
      <w:bookmarkEnd w:id="120"/>
      <w:r>
        <w:rPr/>
        <w:t>Обеспечение высокой доступности</w:t>
      </w:r>
      <w:bookmarkEnd w:id="121"/>
    </w:p>
    <w:p>
      <w:pPr>
        <w:pStyle w:val="Normal"/>
        <w:spacing w:lineRule="auto" w:line="360"/>
        <w:jc w:val="both"/>
        <w:rPr/>
      </w:pPr>
      <w:r>
        <w:rPr/>
        <w:tab/>
        <w:t>ИТ-инфраструктура телеканала обеспечивает следующие характеристики отказоустойчивости:</w:t>
      </w:r>
    </w:p>
    <w:p>
      <w:pPr>
        <w:pStyle w:val="Normal"/>
        <w:spacing w:lineRule="auto" w:line="360"/>
        <w:jc w:val="both"/>
        <w:rPr/>
      </w:pPr>
      <w:r>
        <w:rPr/>
        <w:t>- Отказ любого отдельного компонента системы не приводит к прерыванию вещания благодаря резервированию критически важных элементов</w:t>
      </w:r>
    </w:p>
    <w:p>
      <w:pPr>
        <w:pStyle w:val="Normal"/>
        <w:spacing w:lineRule="auto" w:line="360"/>
        <w:jc w:val="both"/>
        <w:rPr/>
      </w:pPr>
      <w:r>
        <w:rPr/>
        <w:t>- При сбое физического сервера виртуальные машины автоматически перезапускаются на резервных узлах кластера с использованием механизмов VMware HA</w:t>
      </w:r>
    </w:p>
    <w:p>
      <w:pPr>
        <w:pStyle w:val="Normal"/>
        <w:spacing w:lineRule="auto" w:line="360"/>
        <w:jc w:val="both"/>
        <w:rPr/>
      </w:pPr>
      <w:r>
        <w:rPr/>
        <w:t>- Реализована географически распределенная кластерная архитектура между основным и резервным медиацентрами, обеспечивающая непрерывность вещания при аварии на одной площадке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32"/>
        <w:numPr>
          <w:ilvl w:val="2"/>
          <w:numId w:val="1"/>
        </w:numPr>
        <w:rPr/>
      </w:pPr>
      <w:bookmarkStart w:id="122" w:name="__RefHeading___Toc1622_532524440"/>
      <w:bookmarkStart w:id="123" w:name="_Toc198590086"/>
      <w:bookmarkEnd w:id="122"/>
      <w:r>
        <w:rPr/>
        <w:t>Масштабируемость</w:t>
      </w:r>
      <w:bookmarkEnd w:id="123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ab/>
        <w:t>Система поддерживает:</w:t>
      </w:r>
    </w:p>
    <w:p>
      <w:pPr>
        <w:pStyle w:val="Normal"/>
        <w:spacing w:lineRule="auto" w:line="360"/>
        <w:jc w:val="both"/>
        <w:rPr/>
      </w:pPr>
      <w:r>
        <w:rPr/>
        <w:t>- Горизонтальное масштабирование за счет добавления новых серверных узлов в кластер</w:t>
      </w:r>
    </w:p>
    <w:p>
      <w:pPr>
        <w:pStyle w:val="Normal"/>
        <w:spacing w:lineRule="auto" w:line="360"/>
        <w:jc w:val="both"/>
        <w:rPr/>
      </w:pPr>
      <w:r>
        <w:rPr/>
        <w:t>- Вертикальное масштабирование виртуальных машин в пределах доступных ресурсов</w:t>
      </w:r>
    </w:p>
    <w:p>
      <w:pPr>
        <w:pStyle w:val="Normal"/>
        <w:spacing w:lineRule="auto" w:line="360"/>
        <w:jc w:val="both"/>
        <w:rPr/>
      </w:pPr>
      <w:r>
        <w:rPr/>
        <w:t>- Автоматическое масштабирование потоковых мощностей в зависимости от нагрузки</w:t>
      </w:r>
    </w:p>
    <w:p>
      <w:pPr>
        <w:pStyle w:val="Normal"/>
        <w:spacing w:lineRule="auto" w:line="360"/>
        <w:jc w:val="both"/>
        <w:rPr/>
      </w:pPr>
      <w:r>
        <w:rPr/>
        <w:t>- Возможность расширения систем хранения без остановки вещания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124" w:name="__RefHeading___Toc1624_532524440"/>
      <w:bookmarkStart w:id="125" w:name="_Toc198590087"/>
      <w:bookmarkEnd w:id="124"/>
      <w:r>
        <w:rPr/>
        <w:t>Персонал и квалификационные требования</w:t>
      </w:r>
      <w:bookmarkEnd w:id="125"/>
    </w:p>
    <w:p>
      <w:pPr>
        <w:pStyle w:val="Normal"/>
        <w:spacing w:lineRule="auto" w:line="360"/>
        <w:jc w:val="both"/>
        <w:rPr/>
      </w:pPr>
      <w:r>
        <w:rPr/>
        <w:tab/>
        <w:t>Для эксплуатации системы требуется следующий персонал: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1. Технические специалисты (не менее 2 человек):</w:t>
      </w:r>
    </w:p>
    <w:p>
      <w:pPr>
        <w:pStyle w:val="Normal"/>
        <w:spacing w:lineRule="auto" w:line="360"/>
        <w:jc w:val="both"/>
        <w:rPr/>
      </w:pPr>
      <w:r>
        <w:rPr/>
        <w:t>- Опыт администрирования серверных платформ Dell PowerEdge и HPE ProLiant</w:t>
      </w:r>
    </w:p>
    <w:p>
      <w:pPr>
        <w:pStyle w:val="Normal"/>
        <w:spacing w:lineRule="auto" w:line="360"/>
        <w:jc w:val="both"/>
        <w:rPr/>
      </w:pPr>
      <w:r>
        <w:rPr/>
        <w:t>- Навыки работы с системами хранения NetApp AFF и HPE 3PAR</w:t>
      </w:r>
    </w:p>
    <w:p>
      <w:pPr>
        <w:pStyle w:val="Normal"/>
        <w:spacing w:lineRule="auto" w:line="360"/>
        <w:jc w:val="both"/>
        <w:rPr/>
      </w:pPr>
      <w:r>
        <w:rPr/>
        <w:t>- Опыт настройки сетевого оборудования Cisco Nexus и Juniper MX</w:t>
      </w:r>
    </w:p>
    <w:p>
      <w:pPr>
        <w:pStyle w:val="Normal"/>
        <w:spacing w:lineRule="auto" w:line="360"/>
        <w:jc w:val="both"/>
        <w:rPr/>
      </w:pPr>
      <w:r>
        <w:rPr/>
        <w:t>- Знание систем балансировки нагрузки F5 BIG-IP</w:t>
      </w:r>
    </w:p>
    <w:p>
      <w:pPr>
        <w:pStyle w:val="Normal"/>
        <w:spacing w:lineRule="auto" w:line="360"/>
        <w:jc w:val="both"/>
        <w:rPr/>
      </w:pPr>
      <w:r>
        <w:rPr/>
        <w:t>- Опыт работы с системами защиты FortiGate и оборудованием DDoS-защиты</w:t>
      </w:r>
    </w:p>
    <w:p>
      <w:pPr>
        <w:pStyle w:val="Normal"/>
        <w:spacing w:lineRule="auto" w:line="360"/>
        <w:jc w:val="both"/>
        <w:rPr/>
      </w:pPr>
      <w:r>
        <w:rPr/>
        <w:t>- Навыки администрирования VMware vSphere и NSX</w:t>
      </w:r>
    </w:p>
    <w:p>
      <w:pPr>
        <w:pStyle w:val="Normal"/>
        <w:spacing w:lineRule="auto" w:line="360"/>
        <w:jc w:val="both"/>
        <w:rPr/>
      </w:pPr>
      <w:r>
        <w:rPr/>
        <w:t>- Опыт работы с медиаплатформами Dalet и Pebble Beach</w:t>
      </w:r>
    </w:p>
    <w:p>
      <w:pPr>
        <w:pStyle w:val="Normal"/>
        <w:spacing w:lineRule="auto" w:line="360"/>
        <w:jc w:val="both"/>
        <w:rPr/>
      </w:pPr>
      <w:r>
        <w:rPr/>
        <w:t>- Знание систем видеокодирования Harmonic и Elemental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2. Операторы вещания:</w:t>
      </w:r>
    </w:p>
    <w:p>
      <w:pPr>
        <w:pStyle w:val="Normal"/>
        <w:spacing w:lineRule="auto" w:line="360"/>
        <w:jc w:val="both"/>
        <w:rPr/>
      </w:pPr>
      <w:r>
        <w:rPr/>
        <w:t>- Опыт работы с эфирными серверами Imagine Communications</w:t>
      </w:r>
    </w:p>
    <w:p>
      <w:pPr>
        <w:pStyle w:val="Normal"/>
        <w:spacing w:lineRule="auto" w:line="360"/>
        <w:jc w:val="both"/>
        <w:rPr/>
      </w:pPr>
      <w:r>
        <w:rPr/>
        <w:t>- Навыки управления графическими системами Vizrt</w:t>
      </w:r>
    </w:p>
    <w:p>
      <w:pPr>
        <w:pStyle w:val="Normal"/>
        <w:spacing w:lineRule="auto" w:line="360"/>
        <w:jc w:val="both"/>
        <w:rPr/>
      </w:pPr>
      <w:r>
        <w:rPr/>
        <w:t>- Знание стандартов телевизионного вещания (SMPTE, EBU)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3. Требования к обучению:</w:t>
      </w:r>
    </w:p>
    <w:p>
      <w:pPr>
        <w:pStyle w:val="Normal"/>
        <w:spacing w:lineRule="auto" w:line="360"/>
        <w:jc w:val="both"/>
        <w:rPr/>
      </w:pPr>
      <w:r>
        <w:rPr/>
        <w:t>- Обязательное обучение работе с новым оборудованием перед вводом в эксплуатацию</w:t>
      </w:r>
    </w:p>
    <w:p>
      <w:pPr>
        <w:pStyle w:val="Normal"/>
        <w:spacing w:lineRule="auto" w:line="360"/>
        <w:jc w:val="both"/>
        <w:rPr/>
      </w:pPr>
      <w:r>
        <w:rPr/>
        <w:t>- Регулярное повышение квалификации по новым технологиям вещания</w:t>
      </w:r>
    </w:p>
    <w:p>
      <w:pPr>
        <w:pStyle w:val="Normal"/>
        <w:spacing w:lineRule="auto" w:line="360"/>
        <w:jc w:val="both"/>
        <w:rPr/>
      </w:pPr>
      <w:r>
        <w:rPr/>
        <w:t>- Тренировки по действиям в аварийных ситуациях</w:t>
      </w:r>
    </w:p>
    <w:p>
      <w:pPr>
        <w:pStyle w:val="Normal"/>
        <w:spacing w:lineRule="auto" w:line="360"/>
        <w:jc w:val="both"/>
        <w:rPr/>
      </w:pPr>
      <w:r>
        <w:rPr/>
        <w:tab/>
        <w:t>Персонал должен быть полностью укомплектован и обучен до начала промышленной эксплуатации системы. Для обеспечения круглосуточной поддержки вещания устанавливается график дежурств технических специалистов.</w:t>
      </w:r>
    </w:p>
    <w:p>
      <w:pPr>
        <w:pStyle w:val="Heading1"/>
        <w:ind w:hanging="0" w:left="0"/>
        <w:rPr/>
      </w:pPr>
      <w:bookmarkStart w:id="126" w:name="__RefHeading___Toc1626_532524440"/>
      <w:bookmarkStart w:id="127" w:name="_Toc198590088"/>
      <w:bookmarkStart w:id="128" w:name="_Toc23149743"/>
      <w:bookmarkEnd w:id="126"/>
      <w:r>
        <w:rPr/>
        <w:t>Мероприятия по подготовке объекта автоматизации к вводу Системы в действие</w:t>
      </w:r>
      <w:bookmarkEnd w:id="127"/>
      <w:bookmarkEnd w:id="128"/>
    </w:p>
    <w:p>
      <w:pPr>
        <w:pStyle w:val="24"/>
        <w:numPr>
          <w:ilvl w:val="1"/>
          <w:numId w:val="1"/>
        </w:numPr>
        <w:ind w:hanging="0" w:left="0"/>
        <w:rPr/>
      </w:pPr>
      <w:bookmarkStart w:id="129" w:name="__RefHeading___Toc32487_3142906823"/>
      <w:bookmarkStart w:id="130" w:name="_Toc198590089"/>
      <w:bookmarkStart w:id="131" w:name="_Toc23149744"/>
      <w:bookmarkEnd w:id="129"/>
      <w:r>
        <w:rPr/>
        <w:t>Инженерные системы</w:t>
      </w:r>
      <w:bookmarkEnd w:id="130"/>
      <w:bookmarkEnd w:id="131"/>
    </w:p>
    <w:p>
      <w:pPr>
        <w:pStyle w:val="Style16"/>
        <w:rPr/>
      </w:pPr>
      <w:r>
        <w:rPr/>
        <w:tab/>
        <w:t>Аппаратное обеспечение системы телеканала устанавливается в специально оборудованные аппаратно-студийные помещения, отвечающие следующим требованиям: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1. Физическая инфраструктура:</w:t>
      </w:r>
    </w:p>
    <w:p>
      <w:pPr>
        <w:pStyle w:val="Style16"/>
        <w:rPr/>
      </w:pPr>
      <w:r>
        <w:rPr/>
        <w:t>- Серверные стойки 19" глубиной 800-1000 мм с возможностью размещения вещательного оборудования</w:t>
      </w:r>
    </w:p>
    <w:p>
      <w:pPr>
        <w:pStyle w:val="Style16"/>
        <w:rPr/>
      </w:pPr>
      <w:r>
        <w:rPr/>
        <w:t>- Организация кабельной инфраструктуры с разделением силовых и сигнальных линий</w:t>
      </w:r>
    </w:p>
    <w:p>
      <w:pPr>
        <w:pStyle w:val="Style16"/>
        <w:rPr/>
      </w:pPr>
      <w:r>
        <w:rPr/>
        <w:t>- Обеспечение доступа для обслуживания и вентиляции оборудования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2. Электроснабжение:</w:t>
      </w:r>
    </w:p>
    <w:p>
      <w:pPr>
        <w:pStyle w:val="Style16"/>
        <w:rPr/>
      </w:pPr>
      <w:r>
        <w:rPr/>
        <w:t>- Двухконтурная система питания от независимых источников</w:t>
      </w:r>
    </w:p>
    <w:p>
      <w:pPr>
        <w:pStyle w:val="Style16"/>
        <w:rPr/>
      </w:pPr>
      <w:r>
        <w:rPr/>
        <w:t>- Модули PDU в стойках запитываются от разных фидеров</w:t>
      </w:r>
    </w:p>
    <w:p>
      <w:pPr>
        <w:pStyle w:val="Style16"/>
        <w:rPr/>
      </w:pPr>
      <w:r>
        <w:rPr/>
        <w:t>- Бесперебойное питание с автономной работой не менее 30 минут</w:t>
      </w:r>
    </w:p>
    <w:p>
      <w:pPr>
        <w:pStyle w:val="Style16"/>
        <w:rPr/>
      </w:pPr>
      <w:r>
        <w:rPr/>
        <w:t>- Параметры сети: 220В ±10%, 50 Гц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3. Климатические условия:</w:t>
      </w:r>
    </w:p>
    <w:p>
      <w:pPr>
        <w:pStyle w:val="Style16"/>
        <w:rPr/>
      </w:pPr>
      <w:r>
        <w:rPr/>
        <w:t>- Температурный режим: 18-23°С (рабочий диапазон 10-35°С)</w:t>
      </w:r>
    </w:p>
    <w:p>
      <w:pPr>
        <w:pStyle w:val="Style16"/>
        <w:rPr/>
      </w:pPr>
      <w:r>
        <w:rPr/>
        <w:t>- Влажность: 45-65% (допустимый диапазон 20-80%)</w:t>
      </w:r>
    </w:p>
    <w:p>
      <w:pPr>
        <w:pStyle w:val="Style16"/>
        <w:rPr/>
      </w:pPr>
      <w:r>
        <w:rPr/>
        <w:t>- Концентрация пыли: не более 0,5 мг/м³</w:t>
      </w:r>
    </w:p>
    <w:p>
      <w:pPr>
        <w:pStyle w:val="Style16"/>
        <w:rPr/>
      </w:pPr>
      <w:r>
        <w:rPr/>
        <w:t>- Уровень электромагнитных помех: не выше 0,3 В/м (0,15-300 МГц)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4. Безопасность:</w:t>
      </w:r>
    </w:p>
    <w:p>
      <w:pPr>
        <w:pStyle w:val="Style16"/>
        <w:rPr/>
      </w:pPr>
      <w:r>
        <w:rPr/>
        <w:t>- Система пожаротушения газового типа</w:t>
      </w:r>
    </w:p>
    <w:p>
      <w:pPr>
        <w:pStyle w:val="Style16"/>
        <w:rPr/>
      </w:pPr>
      <w:r>
        <w:rPr/>
        <w:t>- Заземление по стандартам телевизионных центров</w:t>
      </w:r>
    </w:p>
    <w:p>
      <w:pPr>
        <w:pStyle w:val="Style16"/>
        <w:rPr/>
      </w:pPr>
      <w:r>
        <w:rPr/>
        <w:t>- Защита от перепадов напряжения и электромагнитных наводок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5. Специальные требования:</w:t>
      </w:r>
    </w:p>
    <w:p>
      <w:pPr>
        <w:pStyle w:val="Style16"/>
        <w:rPr/>
      </w:pPr>
      <w:r>
        <w:rPr/>
        <w:t>- Отдельные зоны для размещения:</w:t>
      </w:r>
    </w:p>
    <w:p>
      <w:pPr>
        <w:pStyle w:val="Style16"/>
        <w:rPr/>
      </w:pPr>
      <w:r>
        <w:rPr/>
        <w:t xml:space="preserve">  </w:t>
      </w:r>
      <w:r>
        <w:rPr/>
        <w:t>* Вещательного оборудования</w:t>
      </w:r>
    </w:p>
    <w:p>
      <w:pPr>
        <w:pStyle w:val="Style16"/>
        <w:rPr/>
      </w:pPr>
      <w:r>
        <w:rPr/>
        <w:t xml:space="preserve">  </w:t>
      </w:r>
      <w:r>
        <w:rPr/>
        <w:t>* Серверной инфраструктуры</w:t>
      </w:r>
    </w:p>
    <w:p>
      <w:pPr>
        <w:pStyle w:val="Style16"/>
        <w:rPr/>
      </w:pPr>
      <w:r>
        <w:rPr/>
        <w:t xml:space="preserve">  </w:t>
      </w:r>
      <w:r>
        <w:rPr/>
        <w:t>* Систем хранения данных</w:t>
      </w:r>
    </w:p>
    <w:p>
      <w:pPr>
        <w:pStyle w:val="Style16"/>
        <w:rPr/>
      </w:pPr>
      <w:r>
        <w:rPr/>
        <w:t xml:space="preserve">  </w:t>
      </w:r>
      <w:r>
        <w:rPr/>
        <w:t>* Сетевого оборудования</w:t>
      </w:r>
    </w:p>
    <w:p>
      <w:pPr>
        <w:pStyle w:val="Style16"/>
        <w:rPr/>
      </w:pPr>
      <w:r>
        <w:rPr/>
        <w:t>- Акустическая изоляция критичных помещений</w:t>
      </w:r>
    </w:p>
    <w:p>
      <w:pPr>
        <w:pStyle w:val="Style16"/>
        <w:rPr/>
      </w:pPr>
      <w:r>
        <w:rPr/>
        <w:t>- Вибрационная защита для точного оборудования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ab/>
        <w:t>Нормативные требования:</w:t>
      </w:r>
    </w:p>
    <w:p>
      <w:pPr>
        <w:pStyle w:val="Style16"/>
        <w:rPr/>
      </w:pPr>
      <w:r>
        <w:rPr/>
        <w:t>- Соответствие ГОСТ Р 51558-2014 для телевизионного оборудования</w:t>
      </w:r>
    </w:p>
    <w:p>
      <w:pPr>
        <w:pStyle w:val="Style16"/>
        <w:rPr/>
      </w:pPr>
      <w:r>
        <w:rPr/>
        <w:t>- Выполнение ПУЭ и ПТБ для электроустановок</w:t>
      </w:r>
    </w:p>
    <w:p>
      <w:pPr>
        <w:pStyle w:val="Style16"/>
        <w:rPr/>
      </w:pPr>
      <w:r>
        <w:rPr/>
        <w:t>- Соответствие СанПиН 2.2.4.3359-16 для рабочих зон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ab/>
        <w:t>Система сохраняет работоспособность при кратковременных (до 4 часов) отклонениях климатических параметров в указанных пределах. Для критичного вещательного оборудования обеспечивается поддержание параметров в оптимальном диапазоне 20±2°С, 50±10% влажности.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132" w:name="__RefHeading___Toc32489_3142906823"/>
      <w:bookmarkStart w:id="133" w:name="_Toc198590090"/>
      <w:bookmarkStart w:id="134" w:name="_Toc23149745"/>
      <w:bookmarkEnd w:id="132"/>
      <w:r>
        <w:rPr/>
        <w:t>Сеть хранения данных</w:t>
      </w:r>
      <w:bookmarkEnd w:id="133"/>
      <w:bookmarkEnd w:id="134"/>
    </w:p>
    <w:p>
      <w:pPr>
        <w:pStyle w:val="Style16"/>
        <w:rPr/>
      </w:pPr>
      <w:r>
        <w:rPr/>
        <w:tab/>
        <w:t xml:space="preserve">Для организации единой распределенной сети хранения медиаконтента между основным и резервным производственными центрами телеканала требуется модернизация существующей SAN-инфраструктуры.  </w:t>
      </w:r>
    </w:p>
    <w:p>
      <w:pPr>
        <w:pStyle w:val="Style16"/>
        <w:rPr/>
      </w:pPr>
      <w:r>
        <w:rPr/>
        <w:tab/>
        <w:t xml:space="preserve">Необходимо активировать лицензии FC-FC маршрутизации на имеющихся SAN-директорах для обеспечения межплощадочного взаимодействия. На каждом директоре создается отдельный логический коммутатор с уникальным Fabric ID, отличным от основного коммутатора. Конфигурация логического коммутатора включает 16 портов, из которых 4 порта настраиваются в режиме EX_Port для соединения маршрутизатора с FC-коммутатором.  </w:t>
      </w:r>
    </w:p>
    <w:p>
      <w:pPr>
        <w:pStyle w:val="Style16"/>
        <w:rPr/>
      </w:pPr>
      <w:r>
        <w:rPr/>
        <w:tab/>
        <w:t xml:space="preserve">EX_Port логического коммутатора подключаются к E_Port основного коммутатора, формируя единую транспортную среду. Дополнительно 4 E_Port объединяются в Trunk-группу и подключаются к DWDM-оборудованию для организации высокоскоростных каналов связи между площадками.  </w:t>
      </w:r>
    </w:p>
    <w:p>
      <w:pPr>
        <w:pStyle w:val="Style16"/>
        <w:rPr/>
      </w:pPr>
      <w:r>
        <w:rPr/>
        <w:tab/>
        <w:t xml:space="preserve">Межплощадочное соединение реализуется через 4 независимых оптических линка с пропускной способностью 10 Гбит/с каждый, что обеспечивает необходимую производительность для синхронной репликации медиаконтента и работы распределенных систем вещания. Все соединения дублируются для обеспечения отказоустойчивости.  </w:t>
      </w:r>
    </w:p>
    <w:p>
      <w:pPr>
        <w:pStyle w:val="Style16"/>
        <w:rPr/>
      </w:pPr>
      <w:r>
        <w:rPr/>
        <w:tab/>
        <w:t>Особое внимание уделяется настройке зонирования и маршрутизации для обеспечения изолированного доступа различных производственных систем к ресурсам хранения данных. Конфигурация сети разрабатывается с учетом требований к задержкам для работы с видео в реальном времени и гарантированной пропускной способности для передачи несжатых видеопотоков.</w:t>
      </w:r>
    </w:p>
    <w:p>
      <w:pPr>
        <w:pStyle w:val="24"/>
        <w:numPr>
          <w:ilvl w:val="1"/>
          <w:numId w:val="1"/>
        </w:numPr>
        <w:ind w:hanging="0" w:left="0"/>
        <w:rPr/>
      </w:pPr>
      <w:bookmarkStart w:id="135" w:name="__RefHeading___Toc32491_3142906823"/>
      <w:bookmarkStart w:id="136" w:name="_Toc198590091"/>
      <w:bookmarkStart w:id="137" w:name="_Toc23149746"/>
      <w:bookmarkEnd w:id="135"/>
      <w:r>
        <w:rPr/>
        <w:t>Виртуальная среда</w:t>
      </w:r>
      <w:bookmarkEnd w:id="136"/>
      <w:bookmarkEnd w:id="137"/>
    </w:p>
    <w:p>
      <w:pPr>
        <w:pStyle w:val="BodyText"/>
        <w:tabs>
          <w:tab w:val="clear" w:pos="708"/>
          <w:tab w:val="left" w:pos="851" w:leader="none"/>
        </w:tabs>
        <w:spacing w:lineRule="auto" w:line="360" w:before="60" w:after="60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Для подготовки виртуальной инфраструктуры телеканала к вводу в эксплуатацию необходимо выполнить следующие работы:</w:t>
      </w:r>
    </w:p>
    <w:p>
      <w:pPr>
        <w:pStyle w:val="BodyText"/>
        <w:numPr>
          <w:ilvl w:val="0"/>
          <w:numId w:val="44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Модернизация существующей платформы виртуализации до актуальной версии VMware vSphere 7.0 с переходом на встроенную модель PSC (Embedded Platform Services Controller). Это обеспечит упрощенное управление и повышенную отказоустойчивость.</w:t>
      </w:r>
    </w:p>
    <w:p>
      <w:pPr>
        <w:pStyle w:val="BodyText"/>
        <w:numPr>
          <w:ilvl w:val="0"/>
          <w:numId w:val="44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Организация высокодоступной конфигурации vCenter HA, для чего требуется:</w:t>
      </w:r>
    </w:p>
    <w:p>
      <w:pPr>
        <w:pStyle w:val="BodyText"/>
        <w:numPr>
          <w:ilvl w:val="0"/>
          <w:numId w:val="45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Выделение трех дополнительных IP-адресов из служебной подсети для работы механизма VCHA</w:t>
      </w:r>
    </w:p>
    <w:p>
      <w:pPr>
        <w:pStyle w:val="BodyText"/>
        <w:numPr>
          <w:ilvl w:val="0"/>
          <w:numId w:val="45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Проверка наличия достаточных вычислительных ресурсов (не менее 8 vCPU и 24 ГБ RAM)</w:t>
      </w:r>
    </w:p>
    <w:p>
      <w:pPr>
        <w:pStyle w:val="BodyText"/>
        <w:numPr>
          <w:ilvl w:val="0"/>
          <w:numId w:val="45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Подтверждение свободного места на хранилище данных (минимум 500 ГБ) для развертывания узлов Passive и Witness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Настройка интеграции с системами аутентификации телеканала через встроенные службы Platform Services Controller, включая:</w:t>
      </w:r>
    </w:p>
    <w:p>
      <w:pPr>
        <w:pStyle w:val="BodyText"/>
        <w:numPr>
          <w:ilvl w:val="0"/>
          <w:numId w:val="4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Подключение к корпоративной службе Active Directory</w:t>
      </w:r>
    </w:p>
    <w:p>
      <w:pPr>
        <w:pStyle w:val="BodyText"/>
        <w:numPr>
          <w:ilvl w:val="0"/>
          <w:numId w:val="4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Настройку ролевого доступа для технического персонала</w:t>
      </w:r>
    </w:p>
    <w:p>
      <w:pPr>
        <w:pStyle w:val="BodyText"/>
        <w:numPr>
          <w:ilvl w:val="0"/>
          <w:numId w:val="47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Конфигурацию политик безопасности в соответствии с требованиями медиапроизводства</w:t>
      </w:r>
    </w:p>
    <w:p>
      <w:pPr>
        <w:pStyle w:val="BodyText"/>
        <w:numPr>
          <w:ilvl w:val="0"/>
          <w:numId w:val="48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Подготовка специализированных шаблонов виртуальных машин для:</w:t>
      </w:r>
    </w:p>
    <w:p>
      <w:pPr>
        <w:pStyle w:val="BodyText"/>
        <w:numPr>
          <w:ilvl w:val="0"/>
          <w:numId w:val="4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Систем эфирного вещания (с гарантированными ресурсами vCPU и RAM)</w:t>
      </w:r>
    </w:p>
    <w:p>
      <w:pPr>
        <w:pStyle w:val="BodyText"/>
        <w:numPr>
          <w:ilvl w:val="0"/>
          <w:numId w:val="4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Серверов обработки видео (с поддержкой GPU passthrough)</w:t>
      </w:r>
    </w:p>
    <w:p>
      <w:pPr>
        <w:pStyle w:val="BodyText"/>
        <w:numPr>
          <w:ilvl w:val="0"/>
          <w:numId w:val="49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Инфраструктурных сервисов (DNS, NTP, мониторинг)</w:t>
      </w:r>
    </w:p>
    <w:p>
      <w:pPr>
        <w:pStyle w:val="BodyText"/>
        <w:numPr>
          <w:ilvl w:val="0"/>
          <w:numId w:val="50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Настройка распределенных виртуальных коммутаторов (vDS) с учетом: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Требований к пропускной способности для видеопотоков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Необходимости изоляции производственных контуров</w:t>
      </w:r>
    </w:p>
    <w:p>
      <w:pPr>
        <w:pStyle w:val="BodyText"/>
        <w:numPr>
          <w:ilvl w:val="0"/>
          <w:numId w:val="51"/>
        </w:numPr>
        <w:tabs>
          <w:tab w:val="clear" w:pos="708"/>
          <w:tab w:val="left" w:pos="0" w:leader="none"/>
          <w:tab w:val="left" w:pos="142" w:leader="none"/>
        </w:tabs>
        <w:spacing w:lineRule="auto" w:line="360" w:before="60" w:after="60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cs="Times New Roman" w:ascii="Times New Roman" w:hAnsi="Times New Roman"/>
          <w:szCs w:val="24"/>
          <w:lang w:eastAsia="ru-RU"/>
        </w:rPr>
        <w:t>Поддержки функций QoS для приоритезации критичного трафика</w:t>
      </w:r>
    </w:p>
    <w:p>
      <w:pPr>
        <w:pStyle w:val="Style16"/>
        <w:rPr/>
      </w:pPr>
      <w:r>
        <w:rPr/>
      </w:r>
    </w:p>
    <w:p>
      <w:pPr>
        <w:pStyle w:val="Style16"/>
        <w:ind w:hanging="0" w:left="1429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1418" w:right="1134" w:gutter="0" w:header="709" w:top="1134" w:footer="556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0" w:color="000000"/>
      </w:pBdr>
      <w:tabs>
        <w:tab w:val="clear" w:pos="4677"/>
        <w:tab w:val="clear" w:pos="9355"/>
        <w:tab w:val="center" w:pos="7320" w:leader="none"/>
        <w:tab w:val="right" w:pos="14520" w:leader="none"/>
      </w:tabs>
      <w:rPr>
        <w:rFonts w:cs="Times New Roman"/>
        <w:szCs w:val="18"/>
      </w:rPr>
    </w:pPr>
    <w:r>
      <w:rPr>
        <w:rFonts w:cs="Times New Roman" w:ascii="Times New Roman" w:hAnsi="Times New Roman"/>
        <w:szCs w:val="18"/>
      </w:rPr>
      <w:t xml:space="preserve">                                                                                                                                         </w:t>
    </w:r>
    <w:r>
      <w:rPr>
        <w:rFonts w:cs="Times New Roman" w:ascii="Times New Roman" w:hAnsi="Times New Roman"/>
        <w:szCs w:val="18"/>
      </w:rPr>
      <w:t xml:space="preserve">Страница </w:t>
    </w:r>
    <w:r>
      <w:rPr>
        <w:rStyle w:val="PageNumber"/>
        <w:rFonts w:cs="Times New Roman"/>
        <w:szCs w:val="18"/>
      </w:rPr>
      <w:fldChar w:fldCharType="begin"/>
    </w:r>
    <w:r>
      <w:rPr>
        <w:rStyle w:val="PageNumber"/>
        <w:szCs w:val="18"/>
        <w:rFonts w:cs="Times New Roman"/>
      </w:rPr>
      <w:instrText xml:space="preserve"> PAGE </w:instrText>
    </w:r>
    <w:r>
      <w:rPr>
        <w:rStyle w:val="PageNumber"/>
        <w:szCs w:val="18"/>
        <w:rFonts w:cs="Times New Roman"/>
      </w:rPr>
      <w:fldChar w:fldCharType="separate"/>
    </w:r>
    <w:r>
      <w:rPr>
        <w:rStyle w:val="PageNumber"/>
        <w:szCs w:val="18"/>
        <w:rFonts w:cs="Times New Roman"/>
      </w:rPr>
      <w:t>27</w:t>
    </w:r>
    <w:r>
      <w:rPr>
        <w:rStyle w:val="PageNumber"/>
        <w:szCs w:val="18"/>
        <w:rFonts w:cs="Times New Roman"/>
      </w:rPr>
      <w:fldChar w:fldCharType="end"/>
    </w:r>
    <w:r>
      <w:rPr>
        <w:rStyle w:val="PageNumber"/>
        <w:rFonts w:cs="Times New Roman"/>
        <w:szCs w:val="18"/>
      </w:rPr>
      <w:t xml:space="preserve"> из </w:t>
    </w:r>
    <w:r>
      <w:rPr>
        <w:rStyle w:val="PageNumber"/>
        <w:rFonts w:cs="Times New Roman"/>
        <w:szCs w:val="18"/>
      </w:rPr>
      <w:fldChar w:fldCharType="begin"/>
    </w:r>
    <w:r>
      <w:rPr>
        <w:rStyle w:val="PageNumber"/>
        <w:szCs w:val="18"/>
        <w:rFonts w:cs="Times New Roman"/>
      </w:rPr>
      <w:instrText xml:space="preserve"> NUMPAGES </w:instrText>
    </w:r>
    <w:r>
      <w:rPr>
        <w:rStyle w:val="PageNumber"/>
        <w:szCs w:val="18"/>
        <w:rFonts w:cs="Times New Roman"/>
      </w:rPr>
      <w:fldChar w:fldCharType="separate"/>
    </w:r>
    <w:r>
      <w:rPr>
        <w:rStyle w:val="PageNumber"/>
        <w:szCs w:val="18"/>
        <w:rFonts w:cs="Times New Roman"/>
      </w:rPr>
      <w:t>27</w:t>
    </w:r>
    <w:r>
      <w:rPr>
        <w:rStyle w:val="PageNumber"/>
        <w:szCs w:val="18"/>
        <w:rFonts w:cs="Times New Roman"/>
      </w:rPr>
      <w:fldChar w:fldCharType="end"/>
    </w:r>
  </w:p>
  <w:p>
    <w:pPr>
      <w:pStyle w:val="Normal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0" w:color="000000"/>
      </w:pBdr>
      <w:tabs>
        <w:tab w:val="clear" w:pos="4677"/>
        <w:tab w:val="clear" w:pos="9355"/>
        <w:tab w:val="center" w:pos="7320" w:leader="none"/>
        <w:tab w:val="right" w:pos="14520" w:leader="none"/>
      </w:tabs>
      <w:rPr>
        <w:rFonts w:cs="Times New Roman"/>
        <w:szCs w:val="18"/>
      </w:rPr>
    </w:pPr>
    <w:r>
      <w:rPr>
        <w:rFonts w:cs="Times New Roman" w:ascii="Times New Roman" w:hAnsi="Times New Roman"/>
        <w:szCs w:val="18"/>
      </w:rPr>
      <w:t xml:space="preserve">                                                                                                                                         </w:t>
    </w:r>
    <w:r>
      <w:rPr>
        <w:rFonts w:cs="Times New Roman" w:ascii="Times New Roman" w:hAnsi="Times New Roman"/>
        <w:szCs w:val="18"/>
      </w:rPr>
      <w:t xml:space="preserve">Страница </w:t>
    </w:r>
    <w:r>
      <w:rPr>
        <w:rStyle w:val="PageNumber"/>
        <w:rFonts w:cs="Times New Roman"/>
        <w:szCs w:val="18"/>
      </w:rPr>
      <w:fldChar w:fldCharType="begin"/>
    </w:r>
    <w:r>
      <w:rPr>
        <w:rStyle w:val="PageNumber"/>
        <w:szCs w:val="18"/>
        <w:rFonts w:cs="Times New Roman"/>
      </w:rPr>
      <w:instrText xml:space="preserve"> PAGE </w:instrText>
    </w:r>
    <w:r>
      <w:rPr>
        <w:rStyle w:val="PageNumber"/>
        <w:szCs w:val="18"/>
        <w:rFonts w:cs="Times New Roman"/>
      </w:rPr>
      <w:fldChar w:fldCharType="separate"/>
    </w:r>
    <w:r>
      <w:rPr>
        <w:rStyle w:val="PageNumber"/>
        <w:szCs w:val="18"/>
        <w:rFonts w:cs="Times New Roman"/>
      </w:rPr>
      <w:t>27</w:t>
    </w:r>
    <w:r>
      <w:rPr>
        <w:rStyle w:val="PageNumber"/>
        <w:szCs w:val="18"/>
        <w:rFonts w:cs="Times New Roman"/>
      </w:rPr>
      <w:fldChar w:fldCharType="end"/>
    </w:r>
    <w:r>
      <w:rPr>
        <w:rStyle w:val="PageNumber"/>
        <w:rFonts w:cs="Times New Roman"/>
        <w:szCs w:val="18"/>
      </w:rPr>
      <w:t xml:space="preserve"> из </w:t>
    </w:r>
    <w:r>
      <w:rPr>
        <w:rStyle w:val="PageNumber"/>
        <w:rFonts w:cs="Times New Roman"/>
        <w:szCs w:val="18"/>
      </w:rPr>
      <w:fldChar w:fldCharType="begin"/>
    </w:r>
    <w:r>
      <w:rPr>
        <w:rStyle w:val="PageNumber"/>
        <w:szCs w:val="18"/>
        <w:rFonts w:cs="Times New Roman"/>
      </w:rPr>
      <w:instrText xml:space="preserve"> NUMPAGES </w:instrText>
    </w:r>
    <w:r>
      <w:rPr>
        <w:rStyle w:val="PageNumber"/>
        <w:szCs w:val="18"/>
        <w:rFonts w:cs="Times New Roman"/>
      </w:rPr>
      <w:fldChar w:fldCharType="separate"/>
    </w:r>
    <w:r>
      <w:rPr>
        <w:rStyle w:val="PageNumber"/>
        <w:szCs w:val="18"/>
        <w:rFonts w:cs="Times New Roman"/>
      </w:rPr>
      <w:t>27</w:t>
    </w:r>
    <w:r>
      <w:rPr>
        <w:rStyle w:val="PageNumber"/>
        <w:szCs w:val="18"/>
        <w:rFonts w:cs="Times New Roman"/>
      </w:rPr>
      <w:fldChar w:fldCharType="end"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3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8214"/>
      <w:gridCol w:w="1324"/>
    </w:tblGrid>
    <w:tr>
      <w:trPr>
        <w:trHeight w:val="225" w:hRule="atLeast"/>
      </w:trPr>
      <w:tc>
        <w:tcPr>
          <w:tcW w:w="821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tabs>
              <w:tab w:val="center" w:pos="4677" w:leader="none"/>
              <w:tab w:val="left" w:pos="6098" w:leader="none"/>
              <w:tab w:val="right" w:pos="9355" w:leader="none"/>
            </w:tabs>
            <w:rPr/>
          </w:pPr>
          <w:r>
            <w:rPr/>
          </w:r>
        </w:p>
      </w:tc>
      <w:tc>
        <w:tcPr>
          <w:tcW w:w="132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rPr/>
          </w:pPr>
          <w:r>
            <w:rPr/>
          </w:r>
        </w:p>
      </w:tc>
    </w:tr>
  </w:tbl>
  <w:p>
    <w:pPr>
      <w:pStyle w:val="Header"/>
      <w:rPr>
        <w:lang w:val="en-US"/>
      </w:rPr>
    </w:pPr>
    <w:r>
      <w:rPr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3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1e0" w:noHBand="0" w:noVBand="0" w:firstColumn="1" w:lastRow="1" w:lastColumn="1" w:firstRow="1"/>
    </w:tblPr>
    <w:tblGrid>
      <w:gridCol w:w="8214"/>
      <w:gridCol w:w="1324"/>
    </w:tblGrid>
    <w:tr>
      <w:trPr>
        <w:trHeight w:val="225" w:hRule="atLeast"/>
      </w:trPr>
      <w:tc>
        <w:tcPr>
          <w:tcW w:w="821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tabs>
              <w:tab w:val="center" w:pos="4677" w:leader="none"/>
              <w:tab w:val="left" w:pos="6098" w:leader="none"/>
              <w:tab w:val="right" w:pos="9355" w:leader="none"/>
            </w:tabs>
            <w:rPr/>
          </w:pPr>
          <w:r>
            <w:rPr/>
          </w:r>
        </w:p>
      </w:tc>
      <w:tc>
        <w:tcPr>
          <w:tcW w:w="132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Header"/>
            <w:rPr/>
          </w:pPr>
          <w:r>
            <w:rPr/>
          </w:r>
        </w:p>
      </w:tc>
    </w:tr>
  </w:tbl>
  <w:p>
    <w:pPr>
      <w:pStyle w:val="Header"/>
      <w:rPr>
        <w:lang w:val="en-US"/>
      </w:rPr>
    </w:pPr>
    <w:r>
      <w:rPr>
        <w:lang w:val="en-US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cs="Times New Roman"/>
        <w:sz w:val="8"/>
        <w:szCs w:val="8"/>
      </w:rPr>
    </w:pPr>
    <w:r>
      <w:rPr>
        <w:rFonts w:cs="Times New Roman" w:ascii="Times New Roman" w:hAnsi="Times New Roman"/>
      </w:rPr>
      <w:t>Пояснительная записка</w:t>
      <w:br/>
      <w:t xml:space="preserve">ИТ-инфраструктура </w:t>
    </w:r>
    <w:r>
      <w:rPr>
        <w:rFonts w:cs="Times New Roman" w:ascii="Times New Roman" w:hAnsi="Times New Roman"/>
        <w:sz w:val="20"/>
        <w:szCs w:val="20"/>
      </w:rPr>
      <w:t>ТВ-канала</w:t>
    </w:r>
    <w:r>
      <w:rPr>
        <w:rFonts w:cs="Times New Roman" w:ascii="Times New Roman" w:hAnsi="Times New Roman"/>
      </w:rPr>
      <w:b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cs="Times New Roman"/>
        <w:sz w:val="8"/>
        <w:szCs w:val="8"/>
      </w:rPr>
    </w:pPr>
    <w:r>
      <w:rPr>
        <w:rFonts w:cs="Times New Roman" w:ascii="Times New Roman" w:hAnsi="Times New Roman"/>
      </w:rPr>
      <w:t>Пояснительная записка</w:t>
      <w:br/>
      <w:t xml:space="preserve">ИТ-инфраструктура </w:t>
    </w:r>
    <w:r>
      <w:rPr>
        <w:rFonts w:cs="Times New Roman" w:ascii="Times New Roman" w:hAnsi="Times New Roman"/>
        <w:sz w:val="20"/>
        <w:szCs w:val="20"/>
      </w:rPr>
      <w:t>ТВ-канала</w:t>
    </w:r>
    <w:r>
      <w:rPr>
        <w:rFonts w:cs="Times New Roman" w:ascii="Times New Roman" w:hAnsi="Times New Roman"/>
      </w:rPr>
      <w:b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 %1 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le"/>
      <w:numFmt w:val="decimal"/>
      <w:suff w:val="space"/>
      <w:lvlText w:val=" %1.%2 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suff w:val="space"/>
      <w:lvlText w:val=" %1.%2.%3 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42"/>
      <w:numFmt w:val="decimal"/>
      <w:suff w:val="space"/>
      <w:lvlText w:val=" %1.%2.%3.%4 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suff w:val="space"/>
      <w:lvlText w:val=" %1.%2.%3.%4.%5 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 %1.%2.%3.%4.%5.%6 "/>
      <w:lvlJc w:val="left"/>
      <w:pPr>
        <w:tabs>
          <w:tab w:val="num" w:pos="1152"/>
        </w:tabs>
        <w:ind w:left="1152" w:hanging="1152"/>
      </w:pPr>
      <w:rPr/>
    </w:lvl>
    <w:lvl w:ilvl="6">
      <w:start w:val="1"/>
      <w:pStyle w:val="Heading7"/>
      <w:numFmt w:val="decimal"/>
      <w:lvlText w:val=" %1.%2.%3.%4.%5.%6.%7 "/>
      <w:lvlJc w:val="left"/>
      <w:pPr>
        <w:tabs>
          <w:tab w:val="num" w:pos="1296"/>
        </w:tabs>
        <w:ind w:left="1296" w:hanging="1296"/>
      </w:pPr>
      <w:rPr/>
    </w:lvl>
    <w:lvl w:ilvl="7">
      <w:start w:val="1"/>
      <w:pStyle w:val="Heading8"/>
      <w:numFmt w:val="decimal"/>
      <w:lvlText w:val=" %1.%2.%3.%4.%5.%6.%7.%8 "/>
      <w:lvlJc w:val="left"/>
      <w:pPr>
        <w:tabs>
          <w:tab w:val="num" w:pos="1440"/>
        </w:tabs>
        <w:ind w:left="1440" w:hanging="1440"/>
      </w:pPr>
      <w:rPr/>
    </w:lvl>
    <w:lvl w:ilvl="8">
      <w:start w:val="1"/>
      <w:pStyle w:val="Heading9"/>
      <w:numFmt w:val="decimal"/>
      <w:lvlText w:val=" %1.%2.%3.%4.%5.%6.%7.%8.%9 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0"/>
        </w:tabs>
        <w:ind w:left="1211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1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)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rFonts w:ascii="Times New Roman" w:hAnsi="Times New Roman"/>
      </w:rPr>
    </w:lvl>
  </w:abstractNum>
  <w:abstractNum w:abstractNumId="1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decimal"/>
      <w:lvlText w:val="%1)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rFonts w:ascii="Times New Roman" w:hAnsi="Times New Roman"/>
      </w:rPr>
    </w:lvl>
  </w:abstractNum>
  <w:abstractNum w:abstractNumId="53">
    <w:lvl w:ilvl="0">
      <w:start w:val="1"/>
      <w:numFmt w:val="decimal"/>
      <w:lvlText w:val="%1)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rFonts w:ascii="Times New Roman" w:hAnsi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13"/>
    <w:lvlOverride w:ilvl="0">
      <w:startOverride w:val="1"/>
    </w:lvlOverride>
  </w:num>
  <w:num w:numId="55">
    <w:abstractNumId w:val="1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3206b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Arial"/>
      <w:color w:val="auto"/>
      <w:kern w:val="0"/>
      <w:sz w:val="24"/>
      <w:szCs w:val="20"/>
      <w:lang w:val="ru-RU" w:eastAsia="en-US" w:bidi="ar-SA"/>
    </w:rPr>
  </w:style>
  <w:style w:type="paragraph" w:styleId="Heading1">
    <w:name w:val="heading 1"/>
    <w:basedOn w:val="Normal"/>
    <w:next w:val="Heading2"/>
    <w:link w:val="1"/>
    <w:qFormat/>
    <w:rsid w:val="0043206b"/>
    <w:pPr>
      <w:keepNext w:val="true"/>
      <w:pageBreakBefore/>
      <w:numPr>
        <w:ilvl w:val="0"/>
        <w:numId w:val="1"/>
      </w:numPr>
      <w:spacing w:before="240" w:after="60"/>
      <w:outlineLvl w:val="0"/>
    </w:pPr>
    <w:rPr>
      <w:b/>
      <w:bCs/>
      <w:kern w:val="2"/>
      <w:sz w:val="32"/>
      <w:szCs w:val="32"/>
    </w:rPr>
  </w:style>
  <w:style w:type="paragraph" w:styleId="Heading2">
    <w:name w:val="heading 2"/>
    <w:basedOn w:val="Title"/>
    <w:next w:val="BodyText"/>
    <w:link w:val="2"/>
    <w:autoRedefine/>
    <w:qFormat/>
    <w:rsid w:val="0043206b"/>
    <w:pPr>
      <w:numPr>
        <w:ilvl w:val="1"/>
        <w:numId w:val="1"/>
      </w:numPr>
      <w:tabs>
        <w:tab w:val="clear" w:pos="1213"/>
        <w:tab w:val="left" w:pos="576" w:leader="none"/>
      </w:tabs>
      <w:spacing w:before="240" w:after="120"/>
      <w:contextualSpacing w:val="false"/>
    </w:pPr>
    <w:rPr>
      <w:iCs/>
      <w:szCs w:val="28"/>
    </w:rPr>
  </w:style>
  <w:style w:type="paragraph" w:styleId="Heading3">
    <w:name w:val="heading 3"/>
    <w:basedOn w:val="Heading2"/>
    <w:next w:val="Normal"/>
    <w:link w:val="3"/>
    <w:autoRedefine/>
    <w:qFormat/>
    <w:rsid w:val="0043206b"/>
    <w:pPr>
      <w:numPr>
        <w:ilvl w:val="2"/>
        <w:numId w:val="1"/>
      </w:numPr>
      <w:outlineLvl w:val="2"/>
    </w:pPr>
    <w:rPr>
      <w:szCs w:val="26"/>
    </w:rPr>
  </w:style>
  <w:style w:type="paragraph" w:styleId="Heading5">
    <w:name w:val="heading 5"/>
    <w:basedOn w:val="Normal"/>
    <w:next w:val="Normal"/>
    <w:link w:val="5"/>
    <w:qFormat/>
    <w:rsid w:val="0043206b"/>
    <w:pPr>
      <w:keepNext w:val="true"/>
      <w:numPr>
        <w:ilvl w:val="4"/>
        <w:numId w:val="1"/>
      </w:numPr>
      <w:tabs>
        <w:tab w:val="clear" w:pos="708"/>
        <w:tab w:val="left" w:pos="1213" w:leader="none"/>
      </w:tabs>
      <w:spacing w:lineRule="auto" w:line="360" w:before="240" w:after="60"/>
      <w:contextualSpacing/>
      <w:jc w:val="both"/>
      <w:outlineLvl w:val="4"/>
    </w:pPr>
    <w:rPr>
      <w:rFonts w:cs="Times New Roman"/>
      <w:b/>
      <w:i/>
      <w:sz w:val="22"/>
      <w:szCs w:val="24"/>
      <w:lang w:eastAsia="pl-PL"/>
    </w:rPr>
  </w:style>
  <w:style w:type="paragraph" w:styleId="Heading6">
    <w:name w:val="heading 6"/>
    <w:basedOn w:val="Normal"/>
    <w:next w:val="Normal"/>
    <w:link w:val="6"/>
    <w:qFormat/>
    <w:rsid w:val="0043206b"/>
    <w:pPr>
      <w:keepNext w:val="true"/>
      <w:numPr>
        <w:ilvl w:val="5"/>
        <w:numId w:val="1"/>
      </w:numPr>
      <w:jc w:val="center"/>
      <w:outlineLvl w:val="5"/>
    </w:pPr>
    <w:rPr>
      <w:rFonts w:cs="Times New Roman"/>
      <w:b/>
      <w:sz w:val="28"/>
      <w:lang w:eastAsia="pl-PL"/>
    </w:rPr>
  </w:style>
  <w:style w:type="paragraph" w:styleId="Heading7">
    <w:name w:val="heading 7"/>
    <w:basedOn w:val="Normal"/>
    <w:next w:val="Normal"/>
    <w:link w:val="7"/>
    <w:qFormat/>
    <w:rsid w:val="0043206b"/>
    <w:pPr>
      <w:numPr>
        <w:ilvl w:val="6"/>
        <w:numId w:val="1"/>
      </w:num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link w:val="8"/>
    <w:qFormat/>
    <w:rsid w:val="0043206b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link w:val="9"/>
    <w:qFormat/>
    <w:rsid w:val="0043206b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qFormat/>
    <w:rsid w:val="0043206b"/>
    <w:rPr>
      <w:rFonts w:ascii="Times New Roman" w:hAnsi="Times New Roman" w:eastAsia="Times New Roman" w:cs="Arial"/>
      <w:b/>
      <w:bCs/>
      <w:kern w:val="2"/>
      <w:sz w:val="32"/>
      <w:szCs w:val="32"/>
    </w:rPr>
  </w:style>
  <w:style w:type="character" w:styleId="2" w:customStyle="1">
    <w:name w:val="Заголовок 2 Знак"/>
    <w:basedOn w:val="DefaultParagraphFont"/>
    <w:qFormat/>
    <w:rsid w:val="0043206b"/>
    <w:rPr>
      <w:rFonts w:ascii="Times New Roman" w:hAnsi="Times New Roman" w:eastAsia="Times New Roman" w:cs="Times New Roman"/>
      <w:b/>
      <w:bCs/>
      <w:iCs/>
      <w:kern w:val="2"/>
      <w:sz w:val="28"/>
      <w:szCs w:val="28"/>
    </w:rPr>
  </w:style>
  <w:style w:type="character" w:styleId="3" w:customStyle="1">
    <w:name w:val="Заголовок 3 Знак"/>
    <w:basedOn w:val="DefaultParagraphFont"/>
    <w:qFormat/>
    <w:rsid w:val="0043206b"/>
    <w:rPr>
      <w:rFonts w:ascii="Times New Roman" w:hAnsi="Times New Roman" w:eastAsia="Times New Roman" w:cs="Times New Roman"/>
      <w:b/>
      <w:bCs/>
      <w:iCs/>
      <w:kern w:val="2"/>
      <w:sz w:val="28"/>
      <w:szCs w:val="26"/>
    </w:rPr>
  </w:style>
  <w:style w:type="character" w:styleId="5" w:customStyle="1">
    <w:name w:val="Заголовок 5 Знак"/>
    <w:basedOn w:val="DefaultParagraphFont"/>
    <w:qFormat/>
    <w:rsid w:val="0043206b"/>
    <w:rPr>
      <w:rFonts w:ascii="Times New Roman" w:hAnsi="Times New Roman" w:eastAsia="Times New Roman" w:cs="Times New Roman"/>
      <w:b/>
      <w:i/>
      <w:szCs w:val="24"/>
      <w:lang w:eastAsia="pl-PL"/>
    </w:rPr>
  </w:style>
  <w:style w:type="character" w:styleId="6" w:customStyle="1">
    <w:name w:val="Заголовок 6 Знак"/>
    <w:basedOn w:val="DefaultParagraphFont"/>
    <w:qFormat/>
    <w:rsid w:val="0043206b"/>
    <w:rPr>
      <w:rFonts w:ascii="Times New Roman" w:hAnsi="Times New Roman" w:eastAsia="Times New Roman" w:cs="Times New Roman"/>
      <w:b/>
      <w:sz w:val="28"/>
      <w:szCs w:val="20"/>
      <w:lang w:eastAsia="pl-PL"/>
    </w:rPr>
  </w:style>
  <w:style w:type="character" w:styleId="7" w:customStyle="1">
    <w:name w:val="Заголовок 7 Знак"/>
    <w:basedOn w:val="DefaultParagraphFont"/>
    <w:qFormat/>
    <w:rsid w:val="0043206b"/>
    <w:rPr>
      <w:rFonts w:ascii="Times New Roman" w:hAnsi="Times New Roman" w:eastAsia="Times New Roman" w:cs="Times New Roman"/>
      <w:sz w:val="24"/>
      <w:szCs w:val="24"/>
    </w:rPr>
  </w:style>
  <w:style w:type="character" w:styleId="8" w:customStyle="1">
    <w:name w:val="Заголовок 8 Знак"/>
    <w:basedOn w:val="DefaultParagraphFont"/>
    <w:qFormat/>
    <w:rsid w:val="0043206b"/>
    <w:rPr>
      <w:rFonts w:ascii="Times New Roman" w:hAnsi="Times New Roman" w:eastAsia="Times New Roman" w:cs="Times New Roman"/>
      <w:i/>
      <w:iCs/>
      <w:sz w:val="24"/>
      <w:szCs w:val="24"/>
    </w:rPr>
  </w:style>
  <w:style w:type="character" w:styleId="9" w:customStyle="1">
    <w:name w:val="Заголовок 9 Знак"/>
    <w:basedOn w:val="DefaultParagraphFont"/>
    <w:qFormat/>
    <w:rsid w:val="0043206b"/>
    <w:rPr>
      <w:rFonts w:ascii="Times New Roman" w:hAnsi="Times New Roman" w:eastAsia="Times New Roman" w:cs="Arial"/>
    </w:rPr>
  </w:style>
  <w:style w:type="character" w:styleId="PageNumber">
    <w:name w:val="page number"/>
    <w:basedOn w:val="DefaultParagraphFont"/>
    <w:rsid w:val="0043206b"/>
    <w:rPr/>
  </w:style>
  <w:style w:type="character" w:styleId="Strong">
    <w:name w:val="Strong"/>
    <w:qFormat/>
    <w:rsid w:val="0043206b"/>
    <w:rPr>
      <w:b/>
      <w:bCs/>
    </w:rPr>
  </w:style>
  <w:style w:type="character" w:styleId="Hyperlink">
    <w:name w:val="Hyperlink"/>
    <w:uiPriority w:val="99"/>
    <w:rsid w:val="0043206b"/>
    <w:rPr>
      <w:color w:val="0000FF"/>
      <w:u w:val="single"/>
    </w:rPr>
  </w:style>
  <w:style w:type="character" w:styleId="Style6" w:customStyle="1">
    <w:name w:val="Основной текст Знак"/>
    <w:qFormat/>
    <w:rsid w:val="0043206b"/>
    <w:rPr>
      <w:rFonts w:ascii="Arial" w:hAnsi="Arial" w:cs="Arial"/>
      <w:sz w:val="24"/>
    </w:rPr>
  </w:style>
  <w:style w:type="character" w:styleId="Style7" w:customStyle="1">
    <w:name w:val="Нижний колонтитул Знак"/>
    <w:basedOn w:val="DefaultParagraphFont"/>
    <w:uiPriority w:val="99"/>
    <w:qFormat/>
    <w:rsid w:val="0043206b"/>
    <w:rPr>
      <w:rFonts w:ascii="Arial" w:hAnsi="Arial" w:cs="Arial"/>
    </w:rPr>
  </w:style>
  <w:style w:type="character" w:styleId="Style8" w:customStyle="1">
    <w:name w:val="ГС_Основной_текст Знак"/>
    <w:link w:val="Style17"/>
    <w:qFormat/>
    <w:rsid w:val="0043206b"/>
    <w:rPr>
      <w:sz w:val="24"/>
      <w:szCs w:val="24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43206b"/>
    <w:rPr>
      <w:rFonts w:ascii="Arial" w:hAnsi="Arial" w:cs="Arial"/>
    </w:rPr>
  </w:style>
  <w:style w:type="character" w:styleId="Emphasis">
    <w:name w:val="Emphasis"/>
    <w:qFormat/>
    <w:rsid w:val="0043206b"/>
    <w:rPr/>
  </w:style>
  <w:style w:type="character" w:styleId="4" w:customStyle="1">
    <w:name w:val="Заголовок4 Знак"/>
    <w:basedOn w:val="5"/>
    <w:link w:val="42"/>
    <w:qFormat/>
    <w:rsid w:val="0043206b"/>
    <w:rPr>
      <w:rFonts w:ascii="Times New Roman" w:hAnsi="Times New Roman" w:eastAsia="Times New Roman" w:cs="Times New Roman"/>
      <w:b/>
      <w:i/>
      <w:szCs w:val="24"/>
      <w:lang w:eastAsia="pl-PL"/>
    </w:rPr>
  </w:style>
  <w:style w:type="character" w:styleId="user" w:customStyle="1">
    <w:name w:val="Ссылка указателя (user)"/>
    <w:qFormat/>
    <w:rsid w:val="0043206b"/>
    <w:rPr/>
  </w:style>
  <w:style w:type="character" w:styleId="Style10" w:customStyle="1">
    <w:name w:val="Заголовок Знак"/>
    <w:basedOn w:val="DefaultParagraphFont"/>
    <w:qFormat/>
    <w:rsid w:val="0043206b"/>
    <w:rPr>
      <w:rFonts w:ascii="Times New Roman" w:hAnsi="Times New Roman" w:eastAsia="Times New Roman" w:cs="Times New Roman"/>
      <w:b/>
      <w:bCs/>
      <w:kern w:val="2"/>
      <w:sz w:val="28"/>
      <w:szCs w:val="32"/>
    </w:rPr>
  </w:style>
  <w:style w:type="character" w:styleId="11" w:customStyle="1">
    <w:name w:val="Основной текст Знак1"/>
    <w:basedOn w:val="DefaultParagraphFont"/>
    <w:uiPriority w:val="99"/>
    <w:semiHidden/>
    <w:qFormat/>
    <w:rsid w:val="0043206b"/>
    <w:rPr>
      <w:rFonts w:ascii="Times New Roman" w:hAnsi="Times New Roman" w:eastAsia="Times New Roman" w:cs="Arial"/>
      <w:sz w:val="24"/>
      <w:szCs w:val="20"/>
    </w:rPr>
  </w:style>
  <w:style w:type="character" w:styleId="12" w:customStyle="1">
    <w:name w:val="Верхний колонтитул Знак1"/>
    <w:basedOn w:val="DefaultParagraphFont"/>
    <w:uiPriority w:val="99"/>
    <w:semiHidden/>
    <w:qFormat/>
    <w:rsid w:val="0043206b"/>
    <w:rPr>
      <w:rFonts w:ascii="Times New Roman" w:hAnsi="Times New Roman" w:eastAsia="Times New Roman" w:cs="Arial"/>
      <w:sz w:val="24"/>
      <w:szCs w:val="20"/>
    </w:rPr>
  </w:style>
  <w:style w:type="character" w:styleId="13" w:customStyle="1">
    <w:name w:val="Нижний колонтитул Знак1"/>
    <w:basedOn w:val="DefaultParagraphFont"/>
    <w:uiPriority w:val="99"/>
    <w:semiHidden/>
    <w:qFormat/>
    <w:rsid w:val="0043206b"/>
    <w:rPr>
      <w:rFonts w:ascii="Times New Roman" w:hAnsi="Times New Roman" w:eastAsia="Times New Roman" w:cs="Arial"/>
      <w:sz w:val="24"/>
      <w:szCs w:val="20"/>
    </w:rPr>
  </w:style>
  <w:style w:type="character" w:styleId="21" w:customStyle="1">
    <w:name w:val="Заголовок2 Знак"/>
    <w:basedOn w:val="DefaultParagraphFont"/>
    <w:link w:val="23"/>
    <w:qFormat/>
    <w:rsid w:val="0043206b"/>
    <w:rPr>
      <w:rFonts w:ascii="Times New Roman" w:hAnsi="Times New Roman" w:eastAsia="Times New Roman" w:cs="Arial"/>
      <w:b/>
      <w:bCs/>
      <w:kern w:val="2"/>
      <w:sz w:val="32"/>
      <w:szCs w:val="32"/>
    </w:rPr>
  </w:style>
  <w:style w:type="character" w:styleId="22" w:customStyle="1">
    <w:name w:val="Заголовок_2 Знак"/>
    <w:basedOn w:val="2"/>
    <w:link w:val="24"/>
    <w:qFormat/>
    <w:rsid w:val="0043206b"/>
    <w:rPr>
      <w:rFonts w:ascii="Times New Roman" w:hAnsi="Times New Roman" w:eastAsia="Times New Roman" w:cs="Times New Roman"/>
      <w:b/>
      <w:bCs/>
      <w:iCs/>
      <w:kern w:val="2"/>
      <w:sz w:val="28"/>
      <w:szCs w:val="28"/>
    </w:rPr>
  </w:style>
  <w:style w:type="character" w:styleId="31" w:customStyle="1">
    <w:name w:val="Заголовок_3 Знак"/>
    <w:basedOn w:val="3"/>
    <w:link w:val="32"/>
    <w:qFormat/>
    <w:rsid w:val="0043206b"/>
    <w:rPr>
      <w:rFonts w:ascii="Times New Roman" w:hAnsi="Times New Roman" w:eastAsia="Times New Roman" w:cs="Times New Roman"/>
      <w:b/>
      <w:bCs/>
      <w:iCs/>
      <w:kern w:val="2"/>
      <w:sz w:val="24"/>
      <w:szCs w:val="24"/>
    </w:rPr>
  </w:style>
  <w:style w:type="character" w:styleId="41" w:customStyle="1">
    <w:name w:val="Заголовок_4 Знак"/>
    <w:basedOn w:val="4"/>
    <w:link w:val="43"/>
    <w:qFormat/>
    <w:rsid w:val="0043206b"/>
    <w:rPr>
      <w:rFonts w:ascii="Times New Roman" w:hAnsi="Times New Roman" w:eastAsia="Times New Roman" w:cs="Times New Roman"/>
      <w:b/>
      <w:i/>
      <w:szCs w:val="24"/>
      <w:lang w:eastAsia="pl-PL"/>
    </w:rPr>
  </w:style>
  <w:style w:type="character" w:styleId="Style11">
    <w:name w:val="Ссылка указателя"/>
    <w:qFormat/>
    <w:rPr/>
  </w:style>
  <w:style w:type="character" w:styleId="Style12">
    <w:name w:val="Исходный текст"/>
    <w:qFormat/>
    <w:rPr>
      <w:rFonts w:ascii="Liberation Mono" w:hAnsi="Liberation Mono" w:eastAsia="Liberation Mono" w:cs="Liberation Mono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BodyText">
    <w:name w:val="Body Text"/>
    <w:basedOn w:val="Normal"/>
    <w:link w:val="Style6"/>
    <w:rsid w:val="0043206b"/>
    <w:pPr>
      <w:spacing w:before="0" w:after="120"/>
      <w:ind w:firstLine="540"/>
    </w:pPr>
    <w:rPr>
      <w:rFonts w:ascii="Arial" w:hAnsi="Arial" w:eastAsia="Calibri" w:eastAsiaTheme="minorHAnsi"/>
      <w:szCs w:val="22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BodyText"/>
    <w:link w:val="Style10"/>
    <w:qFormat/>
    <w:rsid w:val="0043206b"/>
    <w:pPr>
      <w:keepNext w:val="true"/>
      <w:numPr>
        <w:ilvl w:val="1"/>
        <w:numId w:val="1"/>
      </w:numPr>
      <w:tabs>
        <w:tab w:val="clear" w:pos="708"/>
        <w:tab w:val="left" w:pos="1213" w:leader="none"/>
      </w:tabs>
      <w:spacing w:lineRule="auto" w:line="360" w:before="240" w:after="60"/>
      <w:contextualSpacing/>
      <w:jc w:val="both"/>
      <w:outlineLvl w:val="1"/>
    </w:pPr>
    <w:rPr>
      <w:rFonts w:cs="Times New Roman"/>
      <w:b/>
      <w:bCs/>
      <w:kern w:val="2"/>
      <w:sz w:val="28"/>
      <w:szCs w:val="3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rsid w:val="0043206b"/>
    <w:pPr>
      <w:tabs>
        <w:tab w:val="clear" w:pos="708"/>
        <w:tab w:val="center" w:pos="4677" w:leader="none"/>
        <w:tab w:val="right" w:pos="9355" w:leader="none"/>
      </w:tabs>
    </w:pPr>
    <w:rPr>
      <w:rFonts w:ascii="Arial" w:hAnsi="Arial" w:eastAsia="Calibri" w:eastAsiaTheme="minorHAnsi"/>
      <w:sz w:val="22"/>
      <w:szCs w:val="22"/>
    </w:rPr>
  </w:style>
  <w:style w:type="paragraph" w:styleId="Footer">
    <w:name w:val="footer"/>
    <w:basedOn w:val="Normal"/>
    <w:link w:val="Style7"/>
    <w:uiPriority w:val="99"/>
    <w:rsid w:val="0043206b"/>
    <w:pPr>
      <w:tabs>
        <w:tab w:val="clear" w:pos="708"/>
        <w:tab w:val="center" w:pos="4677" w:leader="none"/>
        <w:tab w:val="right" w:pos="9355" w:leader="none"/>
      </w:tabs>
    </w:pPr>
    <w:rPr>
      <w:rFonts w:ascii="Arial" w:hAnsi="Arial" w:eastAsia="Calibri" w:eastAsia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rsid w:val="0043206b"/>
    <w:pPr>
      <w:tabs>
        <w:tab w:val="clear" w:pos="708"/>
        <w:tab w:val="left" w:pos="480" w:leader="none"/>
        <w:tab w:val="right" w:pos="9355" w:leader="dot"/>
      </w:tabs>
    </w:pPr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43206b"/>
    <w:pPr>
      <w:keepLines/>
      <w:pageBreakBefore w:val="false"/>
      <w:numPr>
        <w:ilvl w:val="0"/>
        <w:numId w:val="0"/>
      </w:numPr>
      <w:spacing w:lineRule="auto" w:line="276" w:before="480" w:after="0"/>
      <w:jc w:val="center"/>
      <w:outlineLvl w:val="9"/>
    </w:pPr>
    <w:rPr>
      <w:rFonts w:cs="Times New Roman"/>
      <w:color w:val="000000"/>
      <w:kern w:val="0"/>
      <w:sz w:val="28"/>
      <w:szCs w:val="28"/>
      <w:lang w:eastAsia="ru-RU"/>
    </w:rPr>
  </w:style>
  <w:style w:type="paragraph" w:styleId="Style16" w:customStyle="1">
    <w:name w:val="*Основной текст"/>
    <w:basedOn w:val="Style17"/>
    <w:autoRedefine/>
    <w:qFormat/>
    <w:rsid w:val="0043206b"/>
    <w:pPr>
      <w:spacing w:lineRule="auto" w:line="360"/>
      <w:ind w:hanging="0"/>
    </w:pPr>
    <w:rPr/>
  </w:style>
  <w:style w:type="paragraph" w:styleId="Style17" w:customStyle="1">
    <w:name w:val="ГС_Основной_текст"/>
    <w:link w:val="Style8"/>
    <w:qFormat/>
    <w:rsid w:val="0043206b"/>
    <w:pPr>
      <w:widowControl/>
      <w:tabs>
        <w:tab w:val="clear" w:pos="708"/>
        <w:tab w:val="left" w:pos="851" w:leader="none"/>
      </w:tabs>
      <w:suppressAutoHyphens w:val="true"/>
      <w:bidi w:val="0"/>
      <w:spacing w:lineRule="auto" w:line="288" w:before="60" w:after="60"/>
      <w:ind w:firstLine="851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42" w:customStyle="1">
    <w:name w:val="Заголовок4"/>
    <w:basedOn w:val="Heading5"/>
    <w:link w:val="4"/>
    <w:autoRedefine/>
    <w:qFormat/>
    <w:rsid w:val="0043206b"/>
    <w:pPr>
      <w:numPr>
        <w:ilvl w:val="3"/>
        <w:numId w:val="1"/>
      </w:numPr>
      <w:tabs>
        <w:tab w:val="left" w:pos="1213" w:leader="none"/>
        <w:tab w:val="left" w:pos="8775" w:leader="none"/>
      </w:tabs>
      <w:outlineLvl w:val="3"/>
    </w:pPr>
    <w:rPr/>
  </w:style>
  <w:style w:type="paragraph" w:styleId="Style18" w:customStyle="1">
    <w:name w:val="Перечень сокращений"/>
    <w:basedOn w:val="Title"/>
    <w:qFormat/>
    <w:rsid w:val="0043206b"/>
    <w:pPr>
      <w:numPr>
        <w:ilvl w:val="0"/>
        <w:numId w:val="0"/>
      </w:numPr>
      <w:ind w:hanging="576" w:left="576"/>
      <w:jc w:val="center"/>
    </w:pPr>
    <w:rPr/>
  </w:style>
  <w:style w:type="paragraph" w:styleId="AFormula" w:customStyle="1">
    <w:name w:val="A_Formula"/>
    <w:basedOn w:val="Normal"/>
    <w:qFormat/>
    <w:rsid w:val="0043206b"/>
    <w:pPr>
      <w:keepLines/>
      <w:tabs>
        <w:tab w:val="clear" w:pos="708"/>
        <w:tab w:val="left" w:pos="851" w:leader="none"/>
      </w:tabs>
      <w:spacing w:lineRule="auto" w:line="360" w:before="240" w:after="240"/>
      <w:ind w:firstLine="851"/>
      <w:contextualSpacing/>
    </w:pPr>
    <w:rPr>
      <w:rFonts w:ascii="Arial" w:hAnsi="Arial" w:cs="Times New Roman"/>
      <w:i/>
      <w:szCs w:val="24"/>
      <w:lang w:eastAsia="ru-RU" w:bidi="ru-RU"/>
    </w:rPr>
  </w:style>
  <w:style w:type="paragraph" w:styleId="23" w:customStyle="1">
    <w:name w:val="Заголовок2"/>
    <w:basedOn w:val="Normal"/>
    <w:link w:val="21"/>
    <w:qFormat/>
    <w:rsid w:val="0043206b"/>
    <w:pPr>
      <w:keepNext w:val="true"/>
      <w:pageBreakBefore/>
      <w:tabs>
        <w:tab w:val="clear" w:pos="708"/>
        <w:tab w:val="left" w:pos="0" w:leader="none"/>
      </w:tabs>
      <w:spacing w:before="240" w:after="60"/>
      <w:ind w:hanging="431" w:left="431"/>
      <w:outlineLvl w:val="0"/>
    </w:pPr>
    <w:rPr>
      <w:b/>
      <w:bCs/>
      <w:kern w:val="2"/>
      <w:sz w:val="32"/>
      <w:szCs w:val="32"/>
    </w:rPr>
  </w:style>
  <w:style w:type="paragraph" w:styleId="24" w:customStyle="1">
    <w:name w:val="Заголовок_2"/>
    <w:basedOn w:val="Heading2"/>
    <w:link w:val="22"/>
    <w:qFormat/>
    <w:rsid w:val="0043206b"/>
    <w:pPr>
      <w:ind w:hanging="0" w:left="0"/>
    </w:pPr>
    <w:rPr/>
  </w:style>
  <w:style w:type="paragraph" w:styleId="32" w:customStyle="1">
    <w:name w:val="Заголовок_3"/>
    <w:basedOn w:val="Heading3"/>
    <w:link w:val="31"/>
    <w:qFormat/>
    <w:rsid w:val="0043206b"/>
    <w:pPr>
      <w:numPr>
        <w:ilvl w:val="0"/>
        <w:numId w:val="0"/>
      </w:numPr>
    </w:pPr>
    <w:rPr>
      <w:kern w:val="0"/>
      <w:sz w:val="24"/>
      <w:szCs w:val="24"/>
    </w:rPr>
  </w:style>
  <w:style w:type="paragraph" w:styleId="43" w:customStyle="1">
    <w:name w:val="Заголовок_4"/>
    <w:basedOn w:val="42"/>
    <w:link w:val="41"/>
    <w:qFormat/>
    <w:rsid w:val="0043206b"/>
    <w:pPr>
      <w:numPr>
        <w:ilvl w:val="0"/>
        <w:numId w:val="0"/>
      </w:numPr>
    </w:pPr>
    <w:rPr/>
  </w:style>
  <w:style w:type="paragraph" w:styleId="TOC2">
    <w:name w:val="toc 2"/>
    <w:basedOn w:val="Normal"/>
    <w:next w:val="Normal"/>
    <w:autoRedefine/>
    <w:uiPriority w:val="39"/>
    <w:unhideWhenUsed/>
    <w:rsid w:val="00c30aff"/>
    <w:pPr>
      <w:spacing w:before="0" w:after="100"/>
      <w:ind w:left="240"/>
    </w:pPr>
    <w:rPr/>
  </w:style>
  <w:style w:type="paragraph" w:styleId="TOC3">
    <w:name w:val="toc 3"/>
    <w:basedOn w:val="Normal"/>
    <w:next w:val="Normal"/>
    <w:autoRedefine/>
    <w:uiPriority w:val="39"/>
    <w:unhideWhenUsed/>
    <w:rsid w:val="00c30aff"/>
    <w:pPr>
      <w:spacing w:before="0" w:after="100"/>
      <w:ind w:left="480"/>
    </w:pPr>
    <w:rPr/>
  </w:style>
  <w:style w:type="paragraph" w:styleId="TOC6">
    <w:name w:val="toc 6"/>
    <w:basedOn w:val="Style15"/>
    <w:pPr/>
    <w:rPr/>
  </w:style>
  <w:style w:type="paragraph" w:styleId="TOC7">
    <w:name w:val="toc 7"/>
    <w:basedOn w:val="Style15"/>
    <w:pPr/>
    <w:rPr/>
  </w:style>
  <w:style w:type="paragraph" w:styleId="TOC8">
    <w:name w:val="toc 8"/>
    <w:basedOn w:val="Style15"/>
    <w:pPr/>
    <w:rPr/>
  </w:style>
  <w:style w:type="paragraph" w:styleId="TOC9">
    <w:name w:val="toc 9"/>
    <w:basedOn w:val="Style15"/>
    <w:pPr/>
    <w:rPr/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5">
    <w:name w:val="Table Grid"/>
    <w:basedOn w:val="a3"/>
    <w:uiPriority w:val="39"/>
    <w:rsid w:val="0043206b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LibreOffice/25.2.2.2$Linux_X86_64 LibreOffice_project/520$Build-2</Application>
  <AppVersion>15.0000</AppVersion>
  <Pages>27</Pages>
  <Words>3721</Words>
  <Characters>27550</Characters>
  <CharactersWithSpaces>31071</CharactersWithSpaces>
  <Paragraphs>489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2025-05-19T20:28:00Z</dcterms:created>
  <dc:creator>Сергей Астахов</dc:creator>
  <dc:description/>
  <dc:language>ru-RU</dc:language>
  <cp:lastModifiedBy/>
  <cp:lastPrinted>2025-05-19T20:36:00Z</cp:lastPrinted>
  <dcterms:modified xsi:type="dcterms:W3CDTF">2025-05-21T10:36:42Z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