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56.png" ContentType="image/png"/>
  <Override PartName="/word/media/image55.png" ContentType="image/png"/>
  <Override PartName="/word/media/image54.png" ContentType="image/png"/>
  <Override PartName="/word/media/image53.png" ContentType="image/png"/>
  <Override PartName="/word/media/image52.png" ContentType="image/png"/>
  <Override PartName="/word/media/image51.png" ContentType="image/png"/>
  <Override PartName="/word/media/image50.png" ContentType="image/png"/>
  <Override PartName="/word/media/image47.png" ContentType="image/png"/>
  <Override PartName="/word/media/image10.png" ContentType="image/png"/>
  <Override PartName="/word/media/image38.png" ContentType="image/png"/>
  <Override PartName="/word/media/image6.png" ContentType="image/png"/>
  <Override PartName="/word/media/image15.png" ContentType="image/png"/>
  <Override PartName="/word/media/image37.png" ContentType="image/png"/>
  <Override PartName="/word/media/image5.png" ContentType="image/png"/>
  <Override PartName="/word/media/image14.png" ContentType="image/png"/>
  <Override PartName="/word/media/image1.tif" ContentType="image/tiff"/>
  <Override PartName="/word/media/image22.png" ContentType="image/png"/>
  <Override PartName="/word/media/image59.png" ContentType="image/png"/>
  <Override PartName="/word/media/image19.png" ContentType="image/png"/>
  <Override PartName="/word/media/image61.png" ContentType="image/png"/>
  <Override PartName="/word/media/image21.png" ContentType="image/png"/>
  <Override PartName="/word/media/image58.png" ContentType="image/png"/>
  <Override PartName="/word/media/image66.png" ContentType="image/png"/>
  <Override PartName="/word/media/image29.png" ContentType="image/png"/>
  <Override PartName="/word/media/image65.png" ContentType="image/png"/>
  <Override PartName="/word/media/image28.png" ContentType="image/png"/>
  <Override PartName="/word/media/image64.png" ContentType="image/png"/>
  <Override PartName="/word/media/image27.png" ContentType="image/png"/>
  <Override PartName="/word/media/image63.png" ContentType="image/png"/>
  <Override PartName="/word/media/image26.png" ContentType="image/png"/>
  <Override PartName="/word/media/image23.png" ContentType="image/png"/>
  <Override PartName="/word/media/image60.png" ContentType="image/png"/>
  <Override PartName="/word/media/image62.png" ContentType="image/png"/>
  <Override PartName="/word/media/image25.png" ContentType="image/png"/>
  <Override PartName="/word/media/image24.png" ContentType="image/png"/>
  <Override PartName="/word/media/image16.png" ContentType="image/png"/>
  <Override PartName="/word/media/image7.png" ContentType="image/png"/>
  <Override PartName="/word/media/image39.png" ContentType="image/png"/>
  <Override PartName="/word/media/image34.png" ContentType="image/png"/>
  <Override PartName="/word/media/image2.png" ContentType="image/png"/>
  <Override PartName="/word/media/image11.png" ContentType="image/png"/>
  <Override PartName="/word/media/image48.png" ContentType="image/png"/>
  <Override PartName="/word/media/image17.png" ContentType="image/png"/>
  <Override PartName="/word/media/image8.png" ContentType="image/png"/>
  <Override PartName="/word/media/image35.png" ContentType="image/png"/>
  <Override PartName="/word/media/image3.png" ContentType="image/png"/>
  <Override PartName="/word/media/image12.png" ContentType="image/png"/>
  <Override PartName="/word/media/image49.png" ContentType="image/png"/>
  <Override PartName="/word/media/image20.png" ContentType="image/png"/>
  <Override PartName="/word/media/image57.png" ContentType="image/png"/>
  <Override PartName="/word/media/image18.png" ContentType="image/png"/>
  <Override PartName="/word/media/image9.png" ContentType="image/png"/>
  <Override PartName="/word/media/image36.png" ContentType="image/png"/>
  <Override PartName="/word/media/image4.png" ContentType="image/png"/>
  <Override PartName="/word/media/image13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0"/>
        <w:rPr>
          <w:rFonts w:cs="Times New Roman"/>
          <w:sz w:val="24"/>
        </w:rPr>
      </w:pPr>
      <w:r>
        <w:rPr>
          <w:rFonts w:cs="Times New Roman"/>
          <w:sz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97"/>
      </w:tblGrid>
      <w:tr>
        <w:trPr>
          <w:trHeight w:val="180" w:hRule="atLeast"/>
          <w:cantSplit w:val="true"/>
        </w:trPr>
        <w:tc>
          <w:tcPr>
            <w:tcW w:w="9497" w:type="dxa"/>
            <w:tcBorders/>
          </w:tcPr>
          <w:p>
            <w:pPr>
              <w:pStyle w:val="Normal"/>
              <w:spacing w:lineRule="auto" w:line="276" w:before="60" w:after="0"/>
              <w:jc w:val="center"/>
              <w:rPr>
                <w:rFonts w:eastAsia="Calibri" w:cs="Times New Roman"/>
                <w:caps/>
              </w:rPr>
            </w:pPr>
            <w:r>
              <w:rPr/>
              <w:drawing>
                <wp:inline distT="0" distB="0" distL="0" distR="0">
                  <wp:extent cx="991870" cy="1123950"/>
                  <wp:effectExtent l="0" t="0" r="0" b="0"/>
                  <wp:docPr id="1" name="Рисунок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1870" cy="1123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276" w:before="60" w:after="0"/>
              <w:jc w:val="center"/>
              <w:rPr>
                <w:rFonts w:eastAsia="Calibri" w:cs="Times New Roman"/>
                <w:caps/>
              </w:rPr>
            </w:pPr>
            <w:r>
              <w:rPr>
                <w:rFonts w:eastAsia="Calibri" w:cs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497" w:type="dxa"/>
            <w:tcBorders/>
          </w:tcPr>
          <w:p>
            <w:pPr>
              <w:pStyle w:val="Normal"/>
              <w:widowControl w:val="false"/>
              <w:spacing w:lineRule="auto" w:line="216" w:before="0" w:after="0"/>
              <w:jc w:val="center"/>
              <w:rPr>
                <w:rFonts w:eastAsia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eastAsia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eastAsia="Times New Roman" w:cs="Times New Roman CYR" w:ascii="Times New Roman CYR" w:hAnsi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eastAsia="Symbol" w:cs="Symbol" w:ascii="Symbol" w:hAnsi="Symbol"/>
                <w:b/>
                <w:bCs/>
                <w:iCs/>
                <w:sz w:val="24"/>
                <w:szCs w:val="24"/>
                <w:lang w:eastAsia="ru-RU"/>
              </w:rPr>
              <w:sym w:font="Symbol" w:char="f02d"/>
            </w:r>
            <w:r>
              <w:rPr>
                <w:rFonts w:eastAsia="Times New Roman" w:cs="Times New Roman CYR" w:ascii="Times New Roman CYR" w:hAnsi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276" w:before="0" w:after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eastAsia="Calibri" w:cs="Times New Roman"/>
                <w:b/>
                <w:sz w:val="32"/>
                <w:szCs w:val="32"/>
              </w:rPr>
              <w:t>РТУ МИРЭА</w:t>
            </w:r>
          </w:p>
        </w:tc>
      </w:tr>
    </w:tbl>
    <w:p>
      <w:pPr>
        <w:pStyle w:val="Normal"/>
        <w:spacing w:lineRule="auto" w:line="276" w:before="0" w:after="0"/>
        <w:jc w:val="center"/>
        <w:rPr>
          <w:rFonts w:eastAsia="Calibri" w:cs="Times New Roman"/>
          <w:b/>
        </w:rPr>
      </w:pPr>
      <w:r>
        <w:rPr>
          <w:rFonts w:eastAsia="Calibri" w:cs="Times New Roman"/>
          <w:b/>
        </w:rPr>
      </w:r>
    </w:p>
    <w:p>
      <w:pPr>
        <w:pStyle w:val="Normal"/>
        <w:spacing w:lineRule="auto" w:line="276" w:before="0" w:after="0"/>
        <w:rPr>
          <w:rFonts w:eastAsia="Calibri" w:cs="Times New Roman"/>
          <w:b/>
        </w:rPr>
      </w:pPr>
      <w:r>
        <w:rPr>
          <w:rFonts w:eastAsia="Calibri" w:cs="Times New Roman"/>
          <w:b/>
        </w:rPr>
      </w:r>
    </w:p>
    <w:p>
      <w:pPr>
        <w:pStyle w:val="Normal"/>
        <w:spacing w:lineRule="auto" w:line="276" w:before="0" w:after="0"/>
        <w:rPr>
          <w:rFonts w:eastAsia="Calibri" w:cs="Times New Roman"/>
          <w:b/>
        </w:rPr>
      </w:pPr>
      <w:r>
        <w:rPr>
          <w:rFonts w:eastAsia="Calibri" w:cs="Times New Roman"/>
          <w:b/>
        </w:rPr>
      </w:r>
    </w:p>
    <w:p>
      <w:pPr>
        <w:pStyle w:val="Normal"/>
        <w:spacing w:lineRule="auto" w:line="276" w:before="0" w:after="0"/>
        <w:jc w:val="center"/>
        <w:rPr>
          <w:rFonts w:eastAsia="Calibri" w:cs="Times New Roman"/>
          <w:b/>
          <w:sz w:val="32"/>
          <w:szCs w:val="32"/>
        </w:rPr>
      </w:pPr>
      <w:r>
        <w:rPr>
          <w:rFonts w:eastAsia="Calibri" w:cs="Times New Roman"/>
          <w:b/>
          <w:sz w:val="32"/>
          <w:szCs w:val="32"/>
        </w:rPr>
        <w:t>ВЫПУСКНАЯ КВАЛИФИКАЦИОННАЯ РАБОТА</w:t>
      </w:r>
    </w:p>
    <w:p>
      <w:pPr>
        <w:pStyle w:val="Normal"/>
        <w:shd w:fill="FFFFFF" w:val="clear"/>
        <w:spacing w:lineRule="auto" w:line="240" w:before="0" w:after="0"/>
        <w:ind w:left="79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по направлению дополнительной программы профессиональной переподготовки </w:t>
      </w:r>
    </w:p>
    <w:p>
      <w:pPr>
        <w:pStyle w:val="Normal"/>
        <w:spacing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b/>
          <w:szCs w:val="28"/>
        </w:rPr>
        <w:t>«Технологии Девопс»</w:t>
      </w:r>
    </w:p>
    <w:p>
      <w:pPr>
        <w:pStyle w:val="Normal"/>
        <w:spacing w:before="0" w:after="0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ind w:firstLine="709"/>
        <w:jc w:val="center"/>
        <w:rPr>
          <w:rFonts w:eastAsia="Calibri" w:cs="Times New Roman"/>
          <w:sz w:val="32"/>
          <w:szCs w:val="32"/>
        </w:rPr>
      </w:pPr>
      <w:r>
        <w:rPr>
          <w:rFonts w:eastAsia="Calibri" w:cs="Times New Roman"/>
          <w:b/>
          <w:sz w:val="32"/>
          <w:szCs w:val="32"/>
        </w:rPr>
        <w:t>Тема работы</w:t>
      </w:r>
      <w:r>
        <w:rPr>
          <w:rFonts w:eastAsia="Calibri" w:cs="Times New Roman"/>
          <w:sz w:val="32"/>
          <w:szCs w:val="32"/>
        </w:rPr>
        <w:t>: «Выполнение практических работ»</w:t>
      </w:r>
    </w:p>
    <w:p>
      <w:pPr>
        <w:pStyle w:val="Normal"/>
        <w:spacing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tbl>
      <w:tblPr>
        <w:tblW w:w="5000" w:type="pct"/>
        <w:jc w:val="left"/>
        <w:tblInd w:w="-21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3"/>
        <w:gridCol w:w="2807"/>
        <w:gridCol w:w="3577"/>
      </w:tblGrid>
      <w:tr>
        <w:trPr/>
        <w:tc>
          <w:tcPr>
            <w:tcW w:w="311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eastAsia="SimSun"/>
                <w:sz w:val="24"/>
                <w:szCs w:val="24"/>
                <w:lang w:val="en-US" w:eastAsia="ru-RU"/>
              </w:rPr>
            </w:pPr>
            <w:r>
              <w:rPr>
                <w:rFonts w:eastAsia="SimSun" w:cs="Times New Roman"/>
                <w:kern w:val="0"/>
                <w:sz w:val="24"/>
                <w:szCs w:val="24"/>
                <w:lang w:val="ru-RU" w:eastAsia="ru-RU" w:bidi="ar-SA"/>
              </w:rPr>
              <w:t>Обучающийся:</w:t>
            </w:r>
          </w:p>
        </w:tc>
        <w:tc>
          <w:tcPr>
            <w:tcW w:w="280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eastAsia="SimSun"/>
                <w:sz w:val="20"/>
                <w:szCs w:val="20"/>
                <w:lang w:eastAsia="ru-RU"/>
              </w:rPr>
            </w:pPr>
            <w:r>
              <w:rPr>
                <w:rFonts w:eastAsia="SimSun"/>
                <w:sz w:val="20"/>
                <w:szCs w:val="20"/>
                <w:lang w:eastAsia="ru-RU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eastAsia="SimSun"/>
                <w:sz w:val="24"/>
                <w:szCs w:val="24"/>
                <w:lang w:val="en-US" w:eastAsia="ru-RU"/>
              </w:rPr>
            </w:pPr>
            <w:r>
              <w:rPr>
                <w:rFonts w:eastAsia="SimSun" w:cs="Times New Roman"/>
                <w:kern w:val="0"/>
                <w:sz w:val="24"/>
                <w:szCs w:val="24"/>
                <w:lang w:val="ru-RU" w:eastAsia="ru-RU" w:bidi="ar-SA"/>
              </w:rPr>
              <w:t>__________</w:t>
            </w:r>
            <w:r>
              <w:rPr>
                <w:rFonts w:eastAsia="SimSun" w:cs="Times New Roman"/>
                <w:kern w:val="0"/>
                <w:sz w:val="24"/>
                <w:szCs w:val="24"/>
                <w:lang w:val="en-US" w:eastAsia="ru-RU" w:bidi="ar-SA"/>
              </w:rPr>
              <w:t>___________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eastAsia="SimSun"/>
                <w:sz w:val="20"/>
                <w:szCs w:val="20"/>
                <w:lang w:eastAsia="ru-RU"/>
              </w:rPr>
            </w:pPr>
            <w:r>
              <w:rPr>
                <w:rFonts w:eastAsia="SimSun" w:cs="Times New Roman"/>
                <w:kern w:val="0"/>
                <w:sz w:val="24"/>
                <w:szCs w:val="24"/>
                <w:lang w:val="ru-RU" w:eastAsia="ru-RU" w:bidi="ar-SA"/>
              </w:rPr>
              <w:t>(Подпись)</w:t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eastAsia="SimSu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kern w:val="0"/>
                <w:sz w:val="24"/>
                <w:szCs w:val="24"/>
                <w:lang w:val="ru-RU" w:eastAsia="ru-RU" w:bidi="ar-SA"/>
              </w:rPr>
              <w:t>Студент      С.П. Астахов</w:t>
            </w:r>
          </w:p>
        </w:tc>
      </w:tr>
      <w:tr>
        <w:trPr/>
        <w:tc>
          <w:tcPr>
            <w:tcW w:w="311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eastAsia="SimSu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kern w:val="0"/>
                <w:sz w:val="24"/>
                <w:szCs w:val="24"/>
                <w:lang w:val="ru-RU" w:eastAsia="ru-RU" w:bidi="ar-SA"/>
              </w:rPr>
              <w:t>Руководитель работы</w:t>
            </w:r>
          </w:p>
        </w:tc>
        <w:tc>
          <w:tcPr>
            <w:tcW w:w="280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eastAsia="SimSun"/>
                <w:sz w:val="24"/>
                <w:szCs w:val="24"/>
                <w:lang w:val="en-US" w:eastAsia="ru-RU"/>
              </w:rPr>
            </w:pPr>
            <w:r>
              <w:rPr>
                <w:rFonts w:eastAsia="SimSun"/>
                <w:sz w:val="24"/>
                <w:szCs w:val="24"/>
                <w:lang w:val="en-US" w:eastAsia="ru-RU"/>
              </w:rPr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eastAsia="SimSun"/>
                <w:sz w:val="24"/>
                <w:szCs w:val="24"/>
                <w:lang w:val="en-US" w:eastAsia="ru-RU"/>
              </w:rPr>
            </w:pPr>
            <w:r>
              <w:rPr>
                <w:rFonts w:eastAsia="SimSun" w:cs="Times New Roman"/>
                <w:kern w:val="0"/>
                <w:sz w:val="24"/>
                <w:szCs w:val="24"/>
                <w:lang w:val="ru-RU" w:eastAsia="ru-RU" w:bidi="ar-SA"/>
              </w:rPr>
              <w:t>__________</w:t>
            </w:r>
            <w:r>
              <w:rPr>
                <w:rFonts w:eastAsia="SimSun" w:cs="Times New Roman"/>
                <w:kern w:val="0"/>
                <w:sz w:val="24"/>
                <w:szCs w:val="24"/>
                <w:lang w:val="en-US" w:eastAsia="ru-RU" w:bidi="ar-SA"/>
              </w:rPr>
              <w:t>___________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eastAsia="SimSu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kern w:val="0"/>
                <w:sz w:val="24"/>
                <w:szCs w:val="24"/>
                <w:lang w:val="ru-RU" w:eastAsia="ru-RU" w:bidi="ar-SA"/>
              </w:rPr>
              <w:t>(Подпись)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eastAsia="SimSun"/>
                <w:sz w:val="20"/>
                <w:szCs w:val="20"/>
                <w:lang w:eastAsia="ru-RU"/>
              </w:rPr>
            </w:pPr>
            <w:r>
              <w:rPr>
                <w:rFonts w:eastAsia="SimSun"/>
                <w:sz w:val="20"/>
                <w:szCs w:val="20"/>
                <w:lang w:eastAsia="ru-RU"/>
              </w:rPr>
            </w:r>
          </w:p>
        </w:tc>
        <w:tc>
          <w:tcPr>
            <w:tcW w:w="357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eastAsia="SimSun"/>
                <w:sz w:val="24"/>
                <w:szCs w:val="24"/>
                <w:lang w:eastAsia="ru-RU"/>
              </w:rPr>
            </w:pPr>
            <w:r>
              <w:rPr>
                <w:rFonts w:eastAsia="SimSun" w:cs="Times New Roman"/>
                <w:kern w:val="0"/>
                <w:sz w:val="24"/>
                <w:szCs w:val="24"/>
                <w:lang w:val="ru-RU" w:eastAsia="ru-RU" w:bidi="ar-SA"/>
              </w:rPr>
              <w:t>Доцент     А.Т. Тарланов</w:t>
            </w:r>
          </w:p>
        </w:tc>
      </w:tr>
    </w:tbl>
    <w:p>
      <w:pPr>
        <w:pStyle w:val="Normal"/>
        <w:spacing w:lineRule="auto" w:line="276"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</w:p>
    <w:p>
      <w:pPr>
        <w:pStyle w:val="Normal"/>
        <w:spacing w:lineRule="auto" w:line="276" w:before="0" w:after="0"/>
        <w:jc w:val="center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  <w:t>Москва 2025 г.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0"/>
            <w:ind w:hanging="0" w:left="0"/>
            <w:jc w:val="left"/>
            <w:rPr>
              <w:rFonts w:ascii="Calibri Light" w:hAnsi="Calibri Light"/>
              <w:b w:val="false"/>
              <w:color w:themeColor="accent1" w:themeShade="bf" w:val="2E74B5"/>
              <w:szCs w:val="32"/>
            </w:rPr>
          </w:pPr>
          <w:r>
            <w:rPr>
              <w:b w:val="false"/>
              <w:color w:themeColor="accent1" w:themeShade="bf" w:val="2E74B5"/>
              <w:szCs w:val="32"/>
            </w:rPr>
            <w:t>Содержание</w:t>
          </w:r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r>
            <w:fldChar w:fldCharType="begin"/>
          </w:r>
          <w:r>
            <w:rPr>
              <w:rStyle w:val="Style18"/>
            </w:rPr>
            <w:instrText xml:space="preserve"> TOC \f \o "1-9" \h</w:instrText>
          </w:r>
          <w:r>
            <w:rPr>
              <w:rStyle w:val="Style18"/>
            </w:rPr>
            <w:fldChar w:fldCharType="separate"/>
          </w:r>
          <w:hyperlink w:anchor="__RefHeading___Toc313_2763087389">
            <w:r>
              <w:rPr>
                <w:rStyle w:val="Style18"/>
              </w:rPr>
              <w:t>Задачи</w:t>
            </w:r>
            <w:r>
              <w:rPr>
                <w:rStyle w:val="Style18"/>
              </w:rPr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15_2763087389">
            <w:r>
              <w:rPr>
                <w:rStyle w:val="Style18"/>
              </w:rPr>
              <w:t>Модуль 6. Администрирование баз данных</w:t>
              <w:tab/>
              <w:t>4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17_2763087389">
            <w:r>
              <w:rPr>
                <w:rStyle w:val="Style18"/>
              </w:rPr>
              <w:t>Модуль 7. Масштабируемость и отказоустойчивость</w:t>
              <w:tab/>
              <w:t>7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19_2763087389">
            <w:r>
              <w:rPr>
                <w:rStyle w:val="Style18"/>
              </w:rPr>
              <w:t>Модуль 8. Мониторинг, логирование и оповещение событий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21_2763087389">
            <w:r>
              <w:rPr>
                <w:rStyle w:val="Style18"/>
              </w:rPr>
              <w:t>Модуль 9. Виртуализация в DevOps</w:t>
              <w:tab/>
              <w:t>9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23_2763087389">
            <w:r>
              <w:rPr>
                <w:rStyle w:val="Style18"/>
              </w:rPr>
              <w:t>Модуль 11. Работа с Terraform: как управлять облачной инфраструктурой</w:t>
              <w:tab/>
              <w:t>10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25_2763087389">
            <w:r>
              <w:rPr>
                <w:rStyle w:val="Style18"/>
              </w:rPr>
              <w:t>Модуль 12. Конфигурационное управление. Что такое IaC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27_2763087389">
            <w:r>
              <w:rPr>
                <w:rStyle w:val="Style18"/>
              </w:rPr>
              <w:t>Модуль 13. Системы контроля версий. Распределённая система управления версиями Git</w:t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29_2763087389">
            <w:r>
              <w:rPr>
                <w:rStyle w:val="Style18"/>
              </w:rPr>
              <w:t>Модуль 14. Жизненный цикл ПО</w:t>
              <w:tab/>
              <w:t>13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31_2763087389">
            <w:r>
              <w:rPr>
                <w:rStyle w:val="Style18"/>
              </w:rPr>
              <w:t>Модуль 15. Практические навыки работы с Docker</w:t>
              <w:tab/>
              <w:t>14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33_2763087389">
            <w:r>
              <w:rPr>
                <w:rStyle w:val="Style18"/>
              </w:rPr>
              <w:t>Модуль 16. Микросервисы и микросервисная архитектура</w:t>
              <w:tab/>
              <w:t>15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35_2763087389">
            <w:r>
              <w:rPr>
                <w:rStyle w:val="Style18"/>
              </w:rPr>
              <w:t>Модуль 17. Оркестровка контейнеров, кластеры Kubernetes</w:t>
              <w:tab/>
              <w:t>16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37_2763087389">
            <w:r>
              <w:rPr>
                <w:rStyle w:val="Style18"/>
              </w:rPr>
              <w:t>Модуль 18. Kubernetes конфигурация развертывания</w:t>
              <w:tab/>
              <w:t>17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39_2763087389">
            <w:r>
              <w:rPr>
                <w:rStyle w:val="Style18"/>
              </w:rPr>
              <w:t>Модуль 19. Планирование безопасности для кластера Kubernetes</w:t>
              <w:tab/>
              <w:t>18</w:t>
            </w:r>
          </w:hyperlink>
        </w:p>
        <w:p>
          <w:pPr>
            <w:pStyle w:val="TOC1"/>
            <w:tabs>
              <w:tab w:val="clear" w:pos="708"/>
              <w:tab w:val="right" w:pos="9496" w:leader="dot"/>
            </w:tabs>
            <w:rPr/>
          </w:pPr>
          <w:hyperlink w:anchor="__RefHeading___Toc341_2763087389">
            <w:r>
              <w:rPr>
                <w:rStyle w:val="Style18"/>
              </w:rPr>
              <w:t>Вывод</w:t>
              <w:tab/>
              <w:t>19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TOCHeading"/>
        <w:ind w:hanging="0" w:left="0"/>
        <w:jc w:val="center"/>
        <w:outlineLvl w:val="0"/>
        <w:rPr>
          <w:rFonts w:ascii="Times New Roman" w:hAnsi="Times New Roman" w:cs="Times New Roman"/>
          <w:b/>
          <w:color w:val="auto"/>
          <w:sz w:val="28"/>
          <w:szCs w:val="28"/>
        </w:rPr>
      </w:pPr>
      <w:r>
        <w:rPr>
          <w:rFonts w:cs="Times New Roman" w:ascii="Times New Roman" w:hAnsi="Times New Roman"/>
          <w:b/>
          <w:color w:themeColor="accent1" w:themeShade="bf" w:val="auto"/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eastAsia="Calibri" w:cs="Times New Roman"/>
          <w:szCs w:val="28"/>
        </w:rPr>
      </w:pPr>
      <w:r>
        <w:rPr>
          <w:rFonts w:eastAsia="Calibri" w:cs="Times New Roman"/>
          <w:szCs w:val="28"/>
        </w:rPr>
      </w:r>
      <w:r>
        <w:br w:type="page"/>
      </w:r>
    </w:p>
    <w:p>
      <w:pPr>
        <w:pStyle w:val="Heading1"/>
        <w:spacing w:before="0" w:after="480"/>
        <w:ind w:hanging="0" w:left="0"/>
        <w:rPr>
          <w:rFonts w:eastAsia="Calibri"/>
        </w:rPr>
      </w:pPr>
      <w:bookmarkStart w:id="0" w:name="__RefHeading___Toc313_2763087389"/>
      <w:bookmarkEnd w:id="0"/>
      <w:r>
        <w:rPr>
          <w:rFonts w:eastAsia="Calibri"/>
        </w:rPr>
        <w:t>Задачи</w:t>
      </w:r>
    </w:p>
    <w:p>
      <w:pPr>
        <w:pStyle w:val="Normal"/>
        <w:rPr>
          <w:shd w:fill="E9B913" w:val="clear"/>
          <w:lang w:eastAsia="ru-RU"/>
        </w:rPr>
      </w:pPr>
      <w:r>
        <w:rPr>
          <w:shd w:fill="E9B913" w:val="clear"/>
          <w:lang w:eastAsia="ru-RU"/>
        </w:rPr>
        <w:t>6,8,9,13,</w:t>
      </w:r>
      <w:r>
        <w:rPr>
          <w:shd w:fill="E9B913" w:val="clear"/>
          <w:lang w:eastAsia="ru-RU"/>
        </w:rPr>
        <w:t>14,15</w:t>
      </w:r>
      <w:r>
        <w:rPr>
          <w:shd w:fill="E9B913" w:val="clear"/>
          <w:lang w:eastAsia="ru-RU"/>
        </w:rPr>
        <w:t xml:space="preserve"> практики сделаны</w:t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59"/>
        <w:jc w:val="left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0"/>
        <w:ind w:hanging="0" w:left="0"/>
        <w:rPr>
          <w:rFonts w:eastAsia="Calibri"/>
          <w:szCs w:val="28"/>
        </w:rPr>
      </w:pPr>
      <w:bookmarkStart w:id="1" w:name="__RefHeading___Toc315_2763087389"/>
      <w:bookmarkStart w:id="2" w:name="_Toc195128729"/>
      <w:bookmarkEnd w:id="1"/>
      <w:r>
        <w:rPr>
          <w:rFonts w:eastAsia="Calibri"/>
          <w:szCs w:val="28"/>
        </w:rPr>
        <w:t>Модуль 6. Администрирование баз данных</w:t>
      </w:r>
      <w:bookmarkEnd w:id="2"/>
    </w:p>
    <w:p>
      <w:pPr>
        <w:pStyle w:val="Normal"/>
        <w:spacing w:before="0" w:after="0"/>
        <w:ind w:firstLine="709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Приступим к установке </w:t>
      </w:r>
      <w:r>
        <w:rPr>
          <w:rFonts w:cs="Times New Roman"/>
          <w:lang w:val="en-US" w:eastAsia="ru-RU"/>
        </w:rPr>
        <w:t>PostgreSQL</w:t>
      </w:r>
      <w:r>
        <w:rPr>
          <w:rFonts w:cs="Times New Roman"/>
          <w:lang w:eastAsia="ru-RU"/>
        </w:rPr>
        <w:t xml:space="preserve">. </w:t>
      </w:r>
      <w:r>
        <w:rPr>
          <w:color w:val="111111"/>
          <w:szCs w:val="28"/>
        </w:rPr>
        <w:t xml:space="preserve">Установим </w:t>
      </w:r>
      <w:r>
        <w:rPr>
          <w:color w:val="111111"/>
          <w:szCs w:val="28"/>
          <w:lang w:val="en-US"/>
        </w:rPr>
        <w:t>postgresql</w:t>
      </w:r>
      <w:r>
        <w:rPr>
          <w:color w:val="111111"/>
          <w:szCs w:val="28"/>
        </w:rPr>
        <w:t xml:space="preserve"> 12 на </w:t>
      </w:r>
      <w:r>
        <w:rPr>
          <w:color w:val="111111"/>
          <w:szCs w:val="28"/>
          <w:lang w:val="en-US"/>
        </w:rPr>
        <w:t>Debian</w:t>
      </w:r>
      <w:r>
        <w:rPr>
          <w:color w:val="111111"/>
          <w:szCs w:val="28"/>
        </w:rPr>
        <w:t>.</w:t>
      </w:r>
    </w:p>
    <w:p>
      <w:pPr>
        <w:pStyle w:val="Normal"/>
        <w:spacing w:before="0" w:after="0"/>
        <w:rPr/>
      </w:pPr>
      <w:r>
        <w:rPr/>
        <w:tab/>
        <w:t>Но перед установкой пакета, добавим файл для корректного скачивания.</w:t>
      </w:r>
    </w:p>
    <w:p>
      <w:pPr>
        <w:pStyle w:val="Normal"/>
        <w:rPr/>
      </w:pPr>
      <w:r>
        <w:rPr/>
        <w:t xml:space="preserve">Зайду в файл </w:t>
      </w:r>
      <w:r>
        <w:rPr>
          <w:lang w:val="en-US"/>
        </w:rPr>
        <w:t>pgdg</w:t>
      </w:r>
      <w:r>
        <w:rPr/>
        <w:t>.</w:t>
      </w:r>
      <w:r>
        <w:rPr>
          <w:lang w:val="en-US"/>
        </w:rPr>
        <w:t>list</w:t>
      </w:r>
      <w:r>
        <w:rPr/>
        <w:t xml:space="preserve"> через таксовый редактор </w:t>
      </w:r>
      <w:r>
        <w:rPr>
          <w:lang w:val="en-US"/>
        </w:rPr>
        <w:t>nano</w:t>
      </w:r>
      <w:r>
        <w:rPr/>
        <w:t xml:space="preserve"> и добавлю:</w:t>
      </w:r>
    </w:p>
    <w:p>
      <w:pPr>
        <w:pStyle w:val="Normal"/>
        <w:spacing w:lineRule="auto" w:line="240" w:before="0" w:after="0"/>
        <w:jc w:val="center"/>
        <w:rPr>
          <w:lang w:val="en-US"/>
        </w:rPr>
      </w:pPr>
      <w:r>
        <w:rPr/>
        <w:drawing>
          <wp:inline distT="0" distB="0" distL="0" distR="0">
            <wp:extent cx="4133850" cy="3391535"/>
            <wp:effectExtent l="0" t="0" r="0" b="0"/>
            <wp:docPr id="2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3391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jc w:val="center"/>
        <w:rPr/>
      </w:pPr>
      <w:r>
        <w:rPr/>
        <w:t>Рисунок 1 – Добавления данных для скачки базы данных</w:t>
      </w:r>
    </w:p>
    <w:p>
      <w:pPr>
        <w:pStyle w:val="Normal"/>
        <w:rPr/>
      </w:pPr>
      <w:r>
        <w:rPr/>
        <w:tab/>
        <w:t xml:space="preserve">Скачиваем </w:t>
      </w:r>
      <w:r>
        <w:rPr>
          <w:lang w:val="en-US"/>
        </w:rPr>
        <w:t>postrgsql</w:t>
      </w:r>
    </w:p>
    <w:p>
      <w:pPr>
        <w:pStyle w:val="Normal"/>
        <w:spacing w:lineRule="auto" w:line="240" w:before="0" w:after="0"/>
        <w:jc w:val="center"/>
        <w:rPr/>
      </w:pPr>
      <w:r>
        <w:rPr/>
        <w:drawing>
          <wp:inline distT="0" distB="0" distL="0" distR="0">
            <wp:extent cx="4076700" cy="2903855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903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jc w:val="center"/>
        <w:rPr/>
      </w:pPr>
      <w:r>
        <w:rPr/>
        <w:t xml:space="preserve"> </w:t>
      </w:r>
      <w:r>
        <w:rPr/>
        <w:t>Рисунок 2 – Процесс установки и проверка на работоспособность</w:t>
      </w:r>
    </w:p>
    <w:p>
      <w:pPr>
        <w:pStyle w:val="Normal"/>
        <w:spacing w:before="0" w:after="0"/>
        <w:rPr/>
      </w:pPr>
      <w:r>
        <w:rPr/>
        <w:tab/>
        <w:t>Зайдем в консоль, после создадим суперпользователя(суперроль) через которого будем в последствии создавать базу данных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528945" cy="977900"/>
            <wp:effectExtent l="0" t="0" r="0" b="0"/>
            <wp:docPr id="4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8945" cy="97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  <w:t>Рисунок 3 – Создание роли</w:t>
      </w:r>
    </w:p>
    <w:p>
      <w:pPr>
        <w:pStyle w:val="Normal"/>
        <w:rPr/>
      </w:pPr>
      <w:r>
        <w:rPr/>
        <w:tab/>
        <w:t xml:space="preserve">Создаем базу данных и аккаунт с таким же именем как у роли и бд, для автоматического подключения. Создаем пользователя командой </w:t>
      </w:r>
      <w:r>
        <w:rPr>
          <w:lang w:val="en-US"/>
        </w:rPr>
        <w:t>sudo</w:t>
      </w:r>
      <w:r>
        <w:rPr/>
        <w:t xml:space="preserve"> </w:t>
      </w:r>
      <w:r>
        <w:rPr>
          <w:lang w:val="en-US"/>
        </w:rPr>
        <w:t>adduser</w:t>
      </w:r>
      <w:r>
        <w:rPr/>
        <w:t xml:space="preserve"> &lt;</w:t>
      </w:r>
      <w:r>
        <w:rPr>
          <w:lang w:val="en-US"/>
        </w:rPr>
        <w:t>name</w:t>
      </w:r>
      <w:r>
        <w:rPr/>
        <w:t>&gt;(уже создал), после чего мы сможем легко зайти в консоль роли:</w:t>
      </w:r>
    </w:p>
    <w:p>
      <w:pPr>
        <w:pStyle w:val="Normal"/>
        <w:spacing w:lineRule="auto" w:line="240" w:before="0" w:after="0"/>
        <w:jc w:val="center"/>
        <w:rPr/>
      </w:pPr>
      <w:r>
        <w:rPr/>
        <w:drawing>
          <wp:inline distT="0" distB="0" distL="0" distR="0">
            <wp:extent cx="4719320" cy="3812540"/>
            <wp:effectExtent l="0" t="0" r="0" b="0"/>
            <wp:docPr id="5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320" cy="381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jc w:val="center"/>
        <w:rPr/>
      </w:pPr>
      <w:r>
        <w:rPr/>
        <w:t xml:space="preserve">Рисунок 4 – Создание БД и пользователя, заход в БД </w:t>
      </w:r>
    </w:p>
    <w:p>
      <w:pPr>
        <w:pStyle w:val="Normal"/>
        <w:ind w:firstLine="708"/>
        <w:rPr/>
      </w:pPr>
      <w:r>
        <w:rPr/>
        <w:t>Создаем таблицу продуктов</w:t>
      </w:r>
    </w:p>
    <w:p>
      <w:pPr>
        <w:pStyle w:val="Normal"/>
        <w:ind w:firstLine="708"/>
        <w:rPr/>
      </w:pPr>
      <w:r>
        <w:rPr/>
      </w:r>
    </w:p>
    <w:p>
      <w:pPr>
        <w:pStyle w:val="Normal"/>
        <w:ind w:firstLine="708"/>
        <w:jc w:val="center"/>
        <w:rPr/>
      </w:pPr>
      <w:r>
        <w:rPr/>
        <w:drawing>
          <wp:inline distT="0" distB="0" distL="0" distR="0">
            <wp:extent cx="4729480" cy="1132840"/>
            <wp:effectExtent l="0" t="0" r="0" b="0"/>
            <wp:docPr id="6" name="Рисунок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8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480" cy="1132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8"/>
        <w:jc w:val="center"/>
        <w:rPr/>
      </w:pPr>
      <w:r>
        <w:rPr/>
        <w:t>Рисунок 5 – Таблица в базе данных</w:t>
      </w:r>
    </w:p>
    <w:p>
      <w:pPr>
        <w:pStyle w:val="Normal"/>
        <w:ind w:firstLine="708"/>
        <w:rPr/>
      </w:pPr>
      <w:r>
        <w:rPr/>
        <w:tab/>
        <w:t>И заполняем ее значениями:</w:t>
      </w:r>
    </w:p>
    <w:p>
      <w:pPr>
        <w:pStyle w:val="Normal"/>
        <w:ind w:firstLine="708"/>
        <w:jc w:val="center"/>
        <w:rPr/>
      </w:pPr>
      <w:r>
        <w:rPr/>
        <w:drawing>
          <wp:inline distT="0" distB="0" distL="0" distR="0">
            <wp:extent cx="3076575" cy="3294380"/>
            <wp:effectExtent l="0" t="0" r="0" b="0"/>
            <wp:docPr id="7" name="Рисунок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0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3294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ind w:firstLine="708"/>
        <w:jc w:val="center"/>
        <w:rPr/>
      </w:pPr>
      <w:r>
        <w:rPr/>
        <w:t>Рисунок 6 – Таблица с 10 значениями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59"/>
        <w:jc w:val="left"/>
        <w:rPr/>
      </w:pPr>
      <w:r>
        <w:rPr/>
      </w:r>
    </w:p>
    <w:p>
      <w:pPr>
        <w:pStyle w:val="Heading1"/>
        <w:ind w:hanging="0" w:left="0"/>
        <w:rPr/>
      </w:pPr>
      <w:bookmarkStart w:id="3" w:name="__RefHeading___Toc317_2763087389"/>
      <w:bookmarkEnd w:id="3"/>
      <w:r>
        <w:rPr/>
        <w:t>Модуль 7. Масштабируемость и отказоустойчивость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59"/>
        <w:jc w:val="left"/>
        <w:rPr/>
      </w:pPr>
      <w:r>
        <w:rPr/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4" w:name="__RefHeading___Toc319_2763087389"/>
      <w:bookmarkEnd w:id="4"/>
      <w:r>
        <w:rPr/>
        <w:t>Модуль 8. Мониторинг, логирование и оповещение событий</w:t>
      </w:r>
    </w:p>
    <w:p>
      <w:pPr>
        <w:pStyle w:val="Normal"/>
        <w:spacing w:lineRule="auto" w:line="360" w:before="0" w:after="0"/>
        <w:rPr/>
      </w:pPr>
      <w:r>
        <w:rPr/>
        <w:tab/>
        <w:t>Загрузим сжатый пакет node_exporter через wget (рис.7):</w:t>
      </w:r>
    </w:p>
    <w:p>
      <w:pPr>
        <w:pStyle w:val="Normal"/>
        <w:spacing w:before="0" w:after="0"/>
        <w:jc w:val="center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90870" cy="3204845"/>
            <wp:effectExtent l="0" t="0" r="0" b="0"/>
            <wp:wrapSquare wrapText="largest"/>
            <wp:docPr id="8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0870" cy="3204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7 — Загрузка пакета node_exporter через wget</w:t>
      </w:r>
    </w:p>
    <w:p>
      <w:pPr>
        <w:pStyle w:val="Normal"/>
        <w:spacing w:before="0" w:after="0"/>
        <w:jc w:val="both"/>
        <w:rPr/>
      </w:pPr>
      <w:r>
        <w:rPr/>
        <w:tab/>
        <w:t>Извлечем файлы в node_exporter(рис. 8):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8495" cy="1734820"/>
            <wp:effectExtent l="0" t="0" r="0" b="0"/>
            <wp:wrapSquare wrapText="largest"/>
            <wp:docPr id="9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495" cy="1734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8 — Извлекание файлов</w:t>
      </w:r>
    </w:p>
    <w:p>
      <w:pPr>
        <w:pStyle w:val="Normal"/>
        <w:rPr/>
      </w:pPr>
      <w:r>
        <w:rPr/>
        <w:tab/>
        <w:t>Сделаем двоичный файл node_exploter исполняемым и запустим(рис.9-10):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1320" cy="3079750"/>
            <wp:effectExtent l="0" t="0" r="0" b="0"/>
            <wp:wrapSquare wrapText="largest"/>
            <wp:docPr id="10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320" cy="3079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9 — Изменение прав файла и запуск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05145" cy="2950210"/>
            <wp:effectExtent l="0" t="0" r="0" b="0"/>
            <wp:wrapSquare wrapText="largest"/>
            <wp:docPr id="11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5145" cy="2950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10 — Продолжение кода</w:t>
      </w:r>
    </w:p>
    <w:p>
      <w:pPr>
        <w:pStyle w:val="Normal"/>
        <w:rPr/>
      </w:pPr>
      <w:r>
        <w:rPr/>
        <w:tab/>
        <w:t>Проверим, что метрики экспортируются через порт 9100 (рис. 11):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235325"/>
            <wp:effectExtent l="0" t="0" r="0" b="0"/>
            <wp:wrapSquare wrapText="largest"/>
            <wp:docPr id="12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3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11 — Метрики через порт 9100</w:t>
      </w:r>
    </w:p>
    <w:p>
      <w:pPr>
        <w:pStyle w:val="Normal"/>
        <w:rPr/>
      </w:pPr>
      <w:r>
        <w:rPr/>
        <w:tab/>
        <w:t>Загрузим архив пакета Prometheus (рис. 12):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09920" cy="3204210"/>
            <wp:effectExtent l="0" t="0" r="0" b="0"/>
            <wp:wrapSquare wrapText="largest"/>
            <wp:docPr id="13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320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12 — Применили команду wget и загрузили пакет Prometheus</w:t>
      </w:r>
    </w:p>
    <w:p>
      <w:pPr>
        <w:pStyle w:val="Normal"/>
        <w:rPr/>
      </w:pPr>
      <w:r>
        <w:rPr/>
        <w:tab/>
        <w:t>Распаковка пакета(рис.13):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14645" cy="2045970"/>
            <wp:effectExtent l="0" t="0" r="0" b="0"/>
            <wp:wrapSquare wrapText="largest"/>
            <wp:docPr id="1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4645" cy="2045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/>
      </w:pPr>
      <w:r>
        <w:rPr/>
        <w:t>Рисунок 13 — Распаковка пакета</w:t>
      </w:r>
    </w:p>
    <w:p>
      <w:pPr>
        <w:pStyle w:val="Normal"/>
        <w:jc w:val="both"/>
        <w:rPr/>
      </w:pPr>
      <w:r>
        <w:rPr/>
        <w:tab/>
        <w:t>Перейдет в каталог и настроим Prometheus с помощью изменения содержимого файла prometheus.yml (рис. 14):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409065"/>
            <wp:effectExtent l="0" t="0" r="0" b="0"/>
            <wp:wrapSquare wrapText="largest"/>
            <wp:docPr id="15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409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14 - Содержимое prometheus.yml</w:t>
      </w:r>
    </w:p>
    <w:p>
      <w:pPr>
        <w:pStyle w:val="Normal"/>
        <w:jc w:val="both"/>
        <w:rPr/>
      </w:pPr>
      <w:r>
        <w:rPr/>
        <w:tab/>
        <w:t>Запустим Prometheus (рис. 15):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80105"/>
            <wp:effectExtent l="0" t="0" r="0" b="0"/>
            <wp:wrapSquare wrapText="largest"/>
            <wp:docPr id="16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80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Рисунок 15 — Запуск Prometheus </w:t>
      </w:r>
    </w:p>
    <w:p>
      <w:pPr>
        <w:pStyle w:val="Normal"/>
        <w:rPr/>
      </w:pPr>
      <w:r>
        <w:rPr/>
        <w:tab/>
        <w:t>Установим grafana(Рис. 16):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76930"/>
            <wp:effectExtent l="0" t="0" r="0" b="0"/>
            <wp:wrapSquare wrapText="largest"/>
            <wp:docPr id="17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76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16 -  установка grafana</w:t>
      </w:r>
    </w:p>
    <w:p>
      <w:pPr>
        <w:pStyle w:val="Normal"/>
        <w:jc w:val="both"/>
        <w:rPr/>
      </w:pPr>
      <w:r>
        <w:rPr/>
        <w:tab/>
        <w:t>Запустим сервисы(рис. 17):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679700"/>
            <wp:effectExtent l="0" t="0" r="0" b="0"/>
            <wp:wrapSquare wrapText="largest"/>
            <wp:docPr id="18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67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17 — Запуск сервисов</w:t>
      </w:r>
    </w:p>
    <w:p>
      <w:pPr>
        <w:pStyle w:val="Normal"/>
        <w:jc w:val="both"/>
        <w:rPr/>
      </w:pPr>
      <w:r>
        <w:rPr/>
        <w:tab/>
        <w:t>Настроим grafana для запуска при загрузке(рис. 18):</w:t>
      </w:r>
    </w:p>
    <w:p>
      <w:pPr>
        <w:pStyle w:val="Normal"/>
        <w:jc w:val="center"/>
        <w:rPr/>
      </w:pPr>
      <w:r>
        <w:rPr/>
        <w:t xml:space="preserve">Рисунок 18 — </w:t>
      </w: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577850"/>
            <wp:effectExtent l="0" t="0" r="0" b="0"/>
            <wp:wrapSquare wrapText="largest"/>
            <wp:docPr id="19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57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Настройка grafana</w:t>
      </w:r>
    </w:p>
    <w:p>
      <w:pPr>
        <w:pStyle w:val="Normal"/>
        <w:jc w:val="center"/>
        <w:rPr/>
      </w:pPr>
      <w:r>
        <w:rPr/>
        <w:t xml:space="preserve">Рисунок 19 - </w:t>
      </w: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90265"/>
            <wp:effectExtent l="0" t="0" r="0" b="0"/>
            <wp:wrapSquare wrapText="largest"/>
            <wp:docPr id="20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90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Найстройки источников данных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013075"/>
            <wp:effectExtent l="0" t="0" r="0" b="0"/>
            <wp:wrapSquare wrapText="largest"/>
            <wp:docPr id="21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01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20 - Импорт готового дашборда 10795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964180"/>
            <wp:effectExtent l="0" t="0" r="0" b="0"/>
            <wp:wrapSquare wrapText="largest"/>
            <wp:docPr id="22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21 - Установленный дашборд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5" w:name="__RefHeading___Toc321_2763087389"/>
      <w:bookmarkEnd w:id="5"/>
      <w:r>
        <w:rPr/>
        <w:t>Модуль 9. Виртуализация в DevOps</w:t>
      </w:r>
    </w:p>
    <w:p>
      <w:pPr>
        <w:pStyle w:val="Normal"/>
        <w:spacing w:before="0" w:after="480"/>
        <w:rPr/>
      </w:pPr>
      <w:r>
        <w:rPr/>
        <w:tab/>
        <w:t>Создадим виртуальную машину на бизисе и попробуем загрузить пакет обновлений(рис.22-25):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427095" cy="3427095"/>
            <wp:effectExtent l="0" t="0" r="0" b="0"/>
            <wp:wrapSquare wrapText="largest"/>
            <wp:docPr id="23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7095" cy="3427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t>Рисунок 22 — Создание виртульной машины(часть 1)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1165225</wp:posOffset>
            </wp:positionH>
            <wp:positionV relativeFrom="paragraph">
              <wp:posOffset>-499745</wp:posOffset>
            </wp:positionV>
            <wp:extent cx="3452495" cy="3201035"/>
            <wp:effectExtent l="0" t="0" r="0" b="0"/>
            <wp:wrapSquare wrapText="largest"/>
            <wp:docPr id="24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2495" cy="3201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t>Рисунок 23 - Создание виртульной машины(часть 2)</w:t>
      </w:r>
    </w:p>
    <w:p>
      <w:pPr>
        <w:pStyle w:val="Normal"/>
        <w:jc w:val="center"/>
        <w:rPr/>
      </w:pPr>
      <w:r>
        <w:rPr/>
        <w:tab/>
      </w:r>
      <w: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92805"/>
            <wp:effectExtent l="0" t="0" r="0" b="0"/>
            <wp:wrapSquare wrapText="largest"/>
            <wp:docPr id="25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92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24 - Создание виртульной машины(часть 3)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408680"/>
            <wp:effectExtent l="0" t="0" r="0" b="0"/>
            <wp:wrapSquare wrapText="largest"/>
            <wp:docPr id="26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40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>Рисунок 25 — Запрос на обновление пакетов</w:t>
      </w:r>
    </w:p>
    <w:p>
      <w:pPr>
        <w:pStyle w:val="Normal"/>
        <w:jc w:val="both"/>
        <w:rPr/>
      </w:pPr>
      <w:r>
        <w:rPr/>
        <w:tab/>
        <w:t>Продолжим работу на обычно системе linux, так как на данный момнт интернета на бизисе нет. Дальнейшую работа пройдет на операционной системе archlinux.</w:t>
      </w:r>
    </w:p>
    <w:p>
      <w:pPr>
        <w:pStyle w:val="Normal"/>
        <w:jc w:val="both"/>
        <w:rPr/>
      </w:pPr>
      <w:r>
        <w:rPr/>
        <w:tab/>
        <w:t>Обновим все скаченные пакеты(рис.26):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030855"/>
            <wp:effectExtent l="0" t="0" r="0" b="0"/>
            <wp:wrapSquare wrapText="largest"/>
            <wp:docPr id="27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26 — Обновление пакетов</w:t>
      </w:r>
    </w:p>
    <w:p>
      <w:pPr>
        <w:pStyle w:val="Normal"/>
        <w:jc w:val="both"/>
        <w:rPr/>
      </w:pPr>
      <w:r>
        <w:rPr/>
        <w:tab/>
        <w:t>Теперь скачаем три пакета: vim, mc, net-tools и проверим их версии (рис.27-30)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073275"/>
            <wp:effectExtent l="0" t="0" r="0" b="0"/>
            <wp:wrapSquare wrapText="largest"/>
            <wp:docPr id="28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073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27 -  Скачака пакетов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958850"/>
            <wp:effectExtent l="0" t="0" r="0" b="0"/>
            <wp:wrapSquare wrapText="largest"/>
            <wp:docPr id="29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958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28 — Проверка версии vim</w:t>
      </w:r>
    </w:p>
    <w:p>
      <w:pPr>
        <w:pStyle w:val="Normal"/>
        <w:jc w:val="center"/>
        <w:rPr/>
      </w:pPr>
      <w:r>
        <w:rPr/>
        <w:tab/>
      </w:r>
      <w: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236345"/>
            <wp:effectExtent l="0" t="0" r="0" b="0"/>
            <wp:wrapSquare wrapText="largest"/>
            <wp:docPr id="30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23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29 - Проверка версии mc</w:t>
      </w:r>
    </w:p>
    <w:p>
      <w:pPr>
        <w:pStyle w:val="Normal"/>
        <w:jc w:val="both"/>
        <w:rPr/>
      </w:pPr>
      <w:r>
        <w:rPr/>
        <w:tab/>
        <w:t>Так как net-tools это набор утилит, проверим версию одну из ее инструментов.</w:t>
      </w:r>
    </w:p>
    <w:p>
      <w:pPr>
        <w:pStyle w:val="Normal"/>
        <w:jc w:val="both"/>
        <w:rPr/>
      </w:pPr>
      <w:r>
        <w:rPr/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80990" cy="913765"/>
            <wp:effectExtent l="0" t="0" r="0" b="0"/>
            <wp:wrapSquare wrapText="largest"/>
            <wp:docPr id="31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90" cy="913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/>
      </w:pPr>
      <w:r>
        <w:rPr/>
        <w:t>Рисунок 30 - Проверка версии net-tools</w:t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6" w:name="__RefHeading___Toc323_2763087389"/>
      <w:bookmarkEnd w:id="6"/>
      <w:r>
        <w:rPr/>
        <w:t>Модуль 11. Работа с Terraform: как управлять облачной инфраструктурой</w:t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59"/>
        <w:jc w:val="left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7" w:name="__RefHeading___Toc325_2763087389"/>
      <w:bookmarkEnd w:id="7"/>
      <w:r>
        <w:rPr/>
        <w:t>Модуль 12. Конфигурационное управление. Что такое IaC</w:t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59"/>
        <w:jc w:val="left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8" w:name="__RefHeading___Toc327_2763087389"/>
      <w:bookmarkEnd w:id="8"/>
      <w:r>
        <w:rPr/>
        <w:t>Модуль 13. Системы контроля версий. Распределённая система управления версиями Git</w:t>
      </w:r>
    </w:p>
    <w:p>
      <w:pPr>
        <w:pStyle w:val="Normal"/>
        <w:rPr>
          <w:lang w:eastAsia="ru-RU"/>
        </w:rPr>
      </w:pPr>
      <w:r>
        <w:rPr>
          <w:lang w:eastAsia="ru-RU"/>
        </w:rPr>
        <w:tab/>
        <w:t>Установим git на сервер, так как у меня git установлен, я покажу только команду, но сам git уже не буду скачивать.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168015"/>
            <wp:effectExtent l="0" t="0" r="0" b="0"/>
            <wp:wrapSquare wrapText="largest"/>
            <wp:docPr id="32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168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Скачка git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Создаем пользователя(рис. 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447675"/>
            <wp:effectExtent l="0" t="0" r="0" b="0"/>
            <wp:wrapSquare wrapText="largest"/>
            <wp:docPr id="33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 - Создание пользователя git</w:t>
      </w:r>
    </w:p>
    <w:p>
      <w:pPr>
        <w:pStyle w:val="BodyText"/>
        <w:rPr>
          <w:lang w:eastAsia="ru-RU"/>
        </w:rPr>
      </w:pPr>
      <w:r>
        <w:rPr>
          <w:lang w:eastAsia="ru-RU"/>
        </w:rPr>
        <w:tab/>
        <w:t>-m — создаёт домашний директорию (/home/git).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160"/>
        <w:ind w:hanging="283" w:left="709"/>
        <w:rPr>
          <w:lang w:eastAsia="ru-RU"/>
        </w:rPr>
      </w:pPr>
      <w:r>
        <w:rPr>
          <w:lang w:eastAsia="ru-RU"/>
        </w:rPr>
        <w:t xml:space="preserve">-s /bin/bash — задаёт оболочку Bash </w:t>
      </w:r>
    </w:p>
    <w:p>
      <w:pPr>
        <w:pStyle w:val="BodyText"/>
        <w:spacing w:before="0" w:after="160"/>
        <w:rPr>
          <w:rFonts w:ascii="Times New Roman" w:hAnsi="Times New Roman"/>
          <w:lang w:eastAsia="ru-RU"/>
        </w:rPr>
      </w:pPr>
      <w:r>
        <w:rPr>
          <w:lang w:eastAsia="ru-RU"/>
        </w:rPr>
        <w:tab/>
        <w:t>Введем предварительные настройки(рис.):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3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59410"/>
            <wp:effectExtent l="0" t="0" r="0" b="0"/>
            <wp:wrapSquare wrapText="largest"/>
            <wp:docPr id="34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59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Настройка git, ввод информации о пользователе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Инициализируем локальный git репозиторий(рис. 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3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127375"/>
            <wp:effectExtent l="0" t="0" r="0" b="0"/>
            <wp:wrapSquare wrapText="largest"/>
            <wp:docPr id="35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127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Инициализация репозитория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Индиксируем новые изменения и коммитим(рис. 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3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617980"/>
            <wp:effectExtent l="0" t="0" r="0" b="0"/>
            <wp:wrapSquare wrapText="largest"/>
            <wp:docPr id="36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617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Новый коммит</w:t>
      </w:r>
    </w:p>
    <w:p>
      <w:pPr>
        <w:pStyle w:val="Normal"/>
        <w:rPr>
          <w:lang w:eastAsia="ru-RU"/>
        </w:rPr>
      </w:pPr>
      <w:r>
        <w:rPr>
          <w:lang w:eastAsia="ru-RU"/>
        </w:rPr>
        <w:tab/>
        <w:t>Далее создадим новый hooks в наш репозиторий в внесем в него post-update.sample из испольяемых файлов git(рис. 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405380"/>
            <wp:effectExtent l="0" t="0" r="0" b="0"/>
            <wp:wrapSquare wrapText="largest"/>
            <wp:docPr id="37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405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-  Создание hooks(имитация —bare наверное)</w:t>
      </w:r>
    </w:p>
    <w:p>
      <w:pPr>
        <w:pStyle w:val="Normal"/>
        <w:rPr>
          <w:lang w:eastAsia="ru-RU"/>
        </w:rPr>
      </w:pPr>
      <w:r>
        <w:rPr>
          <w:lang w:eastAsia="ru-RU"/>
        </w:rPr>
        <w:tab/>
        <w:t>Далее, из-за невозможности сделать работу на базисе, сделаем имитацию загрузики с сервера. Перенесем директорию в отдельно созданную директорию git-client и там создадим папку для будущего клонирования репозитория(рис.)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326005"/>
            <wp:effectExtent l="0" t="0" r="0" b="0"/>
            <wp:wrapSquare wrapText="largest"/>
            <wp:docPr id="38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326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Создаине папки для клонированя</w:t>
      </w:r>
    </w:p>
    <w:p>
      <w:pPr>
        <w:pStyle w:val="Normal"/>
        <w:rPr>
          <w:lang w:eastAsia="ru-RU"/>
        </w:rPr>
      </w:pPr>
      <w:r>
        <w:rPr>
          <w:lang w:eastAsia="ru-RU"/>
        </w:rPr>
        <w:tab/>
        <w:t>Далее изменим файл post-update в hooks, чтоб можно было принимать репозиторий по ssh значению(рис. 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605790"/>
            <wp:effectExtent l="0" t="0" r="0" b="0"/>
            <wp:wrapSquare wrapText="largest"/>
            <wp:docPr id="39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605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Изменение  post-update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282315"/>
            <wp:effectExtent l="0" t="0" r="0" b="0"/>
            <wp:wrapSquare wrapText="largest"/>
            <wp:docPr id="40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82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Создание ssh ключа</w:t>
      </w:r>
    </w:p>
    <w:p>
      <w:pPr>
        <w:pStyle w:val="Normal"/>
        <w:rPr>
          <w:lang w:eastAsia="ru-RU"/>
        </w:rPr>
      </w:pPr>
      <w:r>
        <w:rPr>
          <w:lang w:eastAsia="ru-RU"/>
        </w:rPr>
        <w:tab/>
        <w:t>После создание ssh ключа мы добавим его в отдельный файл, чтоб не вводить пароль при ssh, и попробуем склонировать репозиторий по ssh.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004060"/>
            <wp:effectExtent l="0" t="0" r="0" b="0"/>
            <wp:wrapSquare wrapText="largest"/>
            <wp:docPr id="41" name="Изображение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34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004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Клонирования репозитория(создание клиентского репозитория)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Разрешим в серверном репозитории направлять push запросы с помощью git config receive.denyCurrentBranch updateInstead, а дальше сделаем новый коммит на новой ветке в склонированном репозитори(клиентском) и запушим его(рис.):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253105"/>
            <wp:effectExtent l="0" t="0" r="0" b="0"/>
            <wp:wrapSquare wrapText="largest"/>
            <wp:docPr id="42" name="Изображение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35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5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Коммит на новой ветке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Воводим все ветки на серверном репозитории и вывод файла readme.md на основной ветке master, дальше сливаем их в одну и еще раз выводим файл(рис. 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800860"/>
            <wp:effectExtent l="0" t="0" r="0" b="0"/>
            <wp:wrapSquare wrapText="largest"/>
            <wp:docPr id="43" name="Изображение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36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800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Вывод файла на серверном репозитории</w:t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9" w:name="__RefHeading___Toc329_2763087389"/>
      <w:bookmarkEnd w:id="9"/>
      <w:r>
        <w:rPr/>
        <w:t>Модуль 14. Жизненный цикл ПО</w:t>
      </w:r>
    </w:p>
    <w:p>
      <w:pPr>
        <w:pStyle w:val="Normal"/>
        <w:rPr>
          <w:lang w:eastAsia="ru-RU"/>
        </w:rPr>
      </w:pPr>
      <w:r>
        <w:rPr>
          <w:lang w:eastAsia="ru-RU"/>
        </w:rPr>
        <w:tab/>
        <w:t>Скачам jenkins на мой дистрибутив archlinux, так как у нас запрашивают еще скачать ли jdk, скачаем и его(рис. 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054350"/>
            <wp:effectExtent l="0" t="0" r="0" b="0"/>
            <wp:wrapSquare wrapText="largest"/>
            <wp:docPr id="44" name="Изображение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37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054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- 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Посмотрим внутрь jenkins(рис.):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891790"/>
            <wp:effectExtent l="0" t="0" r="0" b="0"/>
            <wp:wrapSquare wrapText="largest"/>
            <wp:docPr id="45" name="Изображение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Изображение38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891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-  Подробности jenkins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Создадим пользователя для запуска службы (рис.):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533400"/>
            <wp:effectExtent l="0" t="0" r="0" b="0"/>
            <wp:wrapSquare wrapText="largest"/>
            <wp:docPr id="46" name="Изображение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Изображение39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id пользователя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Выведем версию java скаченное ранее(рис.):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889635"/>
            <wp:effectExtent l="0" t="0" r="0" b="0"/>
            <wp:wrapSquare wrapText="largest"/>
            <wp:docPr id="47" name="Изображение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40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889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Версия java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Запустим jenkins(рис.):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4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357120"/>
            <wp:effectExtent l="0" t="0" r="0" b="0"/>
            <wp:wrapSquare wrapText="largest"/>
            <wp:docPr id="48" name="Изображение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41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357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Запуск jenkins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 xml:space="preserve">Узнаем порт(рис.) </w:t>
      </w:r>
      <w:r>
        <w:rPr>
          <w:lang w:eastAsia="ru-RU"/>
        </w:rPr>
        <w:t>и потом зайдем по нему(рис.)</w:t>
      </w:r>
      <w:r>
        <w:rPr>
          <w:lang w:eastAsia="ru-RU"/>
        </w:rPr>
        <w:t>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5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421005"/>
            <wp:effectExtent l="0" t="0" r="0" b="0"/>
            <wp:wrapSquare wrapText="largest"/>
            <wp:docPr id="49" name="Изображение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42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42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— Порт 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5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171825"/>
            <wp:effectExtent l="0" t="0" r="0" b="0"/>
            <wp:wrapSquare wrapText="largest"/>
            <wp:docPr id="50" name="Изображение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Изображение43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17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localhost jenkins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Узнаем пароль для входа(рис. ):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5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76225"/>
            <wp:effectExtent l="0" t="0" r="0" b="0"/>
            <wp:wrapSquare wrapText="largest"/>
            <wp:docPr id="51" name="Изображение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44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- 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Мы передем на стрницу, спрашивующая какие плагины нужно скачать, выберем предлагаемые плагины(рис. - 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5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917315"/>
            <wp:effectExtent l="0" t="0" r="0" b="0"/>
            <wp:wrapSquare wrapText="largest"/>
            <wp:docPr id="52" name="Изображение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45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91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Риснуок — Страница выбора скачки плагинов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После этого создадим первого суперпользвателя для входа(рис. 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5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90265"/>
            <wp:effectExtent l="0" t="0" r="0" b="0"/>
            <wp:wrapSquare wrapText="largest"/>
            <wp:docPr id="53" name="Изображение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46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90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Создание суперпользователя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  <w:t>А после прокликиваем дальше, до появления «Jenkins is ready»(рис. 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5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85820"/>
            <wp:effectExtent l="0" t="0" r="0" b="0"/>
            <wp:wrapSquare wrapText="largest"/>
            <wp:docPr id="54" name="Изображение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47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85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— </w:t>
      </w:r>
      <w:r>
        <w:rPr>
          <w:lang w:eastAsia="ru-RU"/>
        </w:rPr>
        <w:t>Г</w:t>
      </w:r>
      <w:r>
        <w:rPr>
          <w:lang w:eastAsia="ru-RU"/>
        </w:rPr>
        <w:t>отовый jenkins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Запишем код, который пройдет тесты(рис.)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167380"/>
            <wp:effectExtent l="0" t="0" r="0" b="0"/>
            <wp:wrapSquare wrapText="largest"/>
            <wp:docPr id="55" name="Изображение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48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167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ab/>
      </w:r>
      <w:r>
        <w:rPr>
          <w:lang w:eastAsia="ru-RU"/>
        </w:rPr>
        <w:t xml:space="preserve">Рисунок — </w:t>
      </w:r>
      <w:r>
        <w:rPr>
          <w:lang w:eastAsia="ru-RU"/>
        </w:rPr>
        <w:t>P</w:t>
      </w:r>
      <w:r>
        <w:rPr>
          <w:lang w:eastAsia="ru-RU"/>
        </w:rPr>
        <w:t>ipline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</w:r>
      <w:r>
        <w:rPr>
          <w:lang w:eastAsia="ru-RU"/>
        </w:rPr>
        <w:t>После нескольких неудачных попыток, получим выполненный pipline(рис. ):</w:t>
      </w:r>
    </w:p>
    <w:p>
      <w:pPr>
        <w:pStyle w:val="Normal"/>
        <w:jc w:val="center"/>
        <w:rPr>
          <w:lang w:eastAsia="ru-RU"/>
        </w:rPr>
      </w:pPr>
      <w:r>
        <w:rPr>
          <w:lang w:eastAsia="ru-RU"/>
        </w:rPr>
        <w:tab/>
      </w:r>
      <w:r>
        <w:drawing>
          <wp:anchor behindDoc="0" distT="0" distB="0" distL="0" distR="0" simplePos="0" locked="0" layoutInCell="0" allowOverlap="1" relativeHeight="5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90265"/>
            <wp:effectExtent l="0" t="0" r="0" b="0"/>
            <wp:wrapSquare wrapText="largest"/>
            <wp:docPr id="56" name="Изображение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49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90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Прогон тестов</w:t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10" w:name="__RefHeading___Toc331_2763087389"/>
      <w:bookmarkEnd w:id="10"/>
      <w:r>
        <w:rPr/>
        <w:t>Модуль 15. Практические навыки работы с Docker</w:t>
      </w:r>
    </w:p>
    <w:p>
      <w:pPr>
        <w:pStyle w:val="Normal"/>
        <w:spacing w:before="0" w:after="480"/>
        <w:ind w:hanging="0" w:left="0"/>
        <w:rPr/>
      </w:pPr>
      <w:r>
        <w:rPr/>
        <w:tab/>
      </w:r>
      <w:r>
        <w:rPr/>
        <w:t>Создадим папку docker-practice и в нее создадим Dockerfile(рис. 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6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834390"/>
            <wp:effectExtent l="0" t="0" r="0" b="0"/>
            <wp:wrapSquare wrapText="largest"/>
            <wp:docPr id="57" name="Изображение5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50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834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- Dockerfile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6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350645"/>
            <wp:effectExtent l="0" t="0" r="0" b="0"/>
            <wp:wrapSquare wrapText="largest"/>
            <wp:docPr id="58" name="Изображение5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51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350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- </w:t>
      </w:r>
      <w:r>
        <w:rPr>
          <w:lang w:eastAsia="ru-RU"/>
        </w:rPr>
        <w:t>P</w:t>
      </w:r>
      <w:r>
        <w:rPr>
          <w:lang w:eastAsia="ru-RU"/>
        </w:rPr>
        <w:t>ostgresql.conf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083560"/>
            <wp:effectExtent l="0" t="0" r="0" b="0"/>
            <wp:wrapSquare wrapText="largest"/>
            <wp:docPr id="59" name="Изображение5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52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08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-</w:t>
      </w:r>
      <w:r>
        <w:rPr>
          <w:lang w:eastAsia="ru-RU"/>
        </w:rPr>
        <w:t>S</w:t>
      </w:r>
      <w:r>
        <w:rPr>
          <w:lang w:eastAsia="ru-RU"/>
        </w:rPr>
        <w:t>tartUpScript.sh(часть 1)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5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966085"/>
            <wp:effectExtent l="0" t="0" r="0" b="0"/>
            <wp:wrapSquare wrapText="largest"/>
            <wp:docPr id="60" name="Изображение5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53" descr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966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-</w:t>
      </w:r>
      <w:r>
        <w:rPr>
          <w:lang w:eastAsia="ru-RU"/>
        </w:rPr>
        <w:t>S</w:t>
      </w:r>
      <w:r>
        <w:rPr>
          <w:lang w:eastAsia="ru-RU"/>
        </w:rPr>
        <w:t>tartUpScript.sh(часть 2)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6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268980"/>
            <wp:effectExtent l="0" t="0" r="0" b="0"/>
            <wp:wrapSquare wrapText="largest"/>
            <wp:docPr id="61" name="Изображение5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54" descr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268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Создание образа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6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687070"/>
            <wp:effectExtent l="0" t="0" r="0" b="0"/>
            <wp:wrapSquare wrapText="largest"/>
            <wp:docPr id="62" name="Изображение5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55" descr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687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 xml:space="preserve">Рисунок — </w:t>
      </w:r>
      <w:r>
        <w:rPr>
          <w:lang w:eastAsia="ru-RU"/>
        </w:rPr>
        <w:t>Запуск контейнера postgres</w:t>
      </w:r>
    </w:p>
    <w:p>
      <w:pPr>
        <w:pStyle w:val="Normal"/>
        <w:jc w:val="both"/>
        <w:rPr>
          <w:lang w:eastAsia="ru-RU"/>
        </w:rPr>
      </w:pPr>
      <w:r>
        <w:rPr>
          <w:lang w:eastAsia="ru-RU"/>
        </w:rPr>
        <w:tab/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6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1806575"/>
            <wp:effectExtent l="0" t="0" r="0" b="0"/>
            <wp:wrapSquare wrapText="largest"/>
            <wp:docPr id="63" name="Изображение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56" descr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1806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ab/>
      </w:r>
      <w:r>
        <w:rPr>
          <w:lang w:eastAsia="ru-RU"/>
        </w:rPr>
        <w:t>Рисунок — Запуск контейнера pyadmin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6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2000885"/>
            <wp:effectExtent l="0" t="0" r="0" b="0"/>
            <wp:wrapSquare wrapText="largest"/>
            <wp:docPr id="64" name="Изображение5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57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2000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ab/>
      </w:r>
      <w:r>
        <w:rPr>
          <w:lang w:eastAsia="ru-RU"/>
        </w:rPr>
        <w:t>Рисунок — Вывод таблиц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6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85820"/>
            <wp:effectExtent l="0" t="0" r="0" b="0"/>
            <wp:wrapSquare wrapText="largest"/>
            <wp:docPr id="65" name="Изображение5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58" descr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85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ab/>
      </w:r>
      <w:r>
        <w:rPr>
          <w:lang w:eastAsia="ru-RU"/>
        </w:rPr>
        <w:t>Рисунок — Вывод значений таблиц</w:t>
      </w:r>
    </w:p>
    <w:p>
      <w:pPr>
        <w:pStyle w:val="Normal"/>
        <w:jc w:val="center"/>
        <w:rPr>
          <w:lang w:eastAsia="ru-RU"/>
        </w:rPr>
      </w:pPr>
      <w:r>
        <w:drawing>
          <wp:anchor behindDoc="0" distT="0" distB="0" distL="0" distR="0" simplePos="0" locked="0" layoutInCell="0" allowOverlap="1" relativeHeight="6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0595" cy="3379470"/>
            <wp:effectExtent l="0" t="0" r="0" b="0"/>
            <wp:wrapSquare wrapText="largest"/>
            <wp:docPr id="66" name="Изображение5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59" descr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379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eastAsia="ru-RU"/>
        </w:rPr>
        <w:t>Рисунок — Версия на pyadmin</w:t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11" w:name="__RefHeading___Toc333_2763087389"/>
      <w:bookmarkEnd w:id="11"/>
      <w:r>
        <w:rPr/>
        <w:t>Модуль 16. Микросервисы и микросервисная архитектура</w:t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59"/>
        <w:jc w:val="left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12" w:name="__RefHeading___Toc335_2763087389"/>
      <w:bookmarkEnd w:id="12"/>
      <w:r>
        <w:rPr/>
        <w:t>Модуль 17. Оркестровка контейнеров, кластеры Kubernetes</w:t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59"/>
        <w:jc w:val="left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13" w:name="__RefHeading___Toc337_2763087389"/>
      <w:bookmarkEnd w:id="13"/>
      <w:r>
        <w:rPr/>
        <w:t>Модуль 18. Kubernetes конфигурация развертывания</w:t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59"/>
        <w:jc w:val="left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480"/>
        <w:ind w:hanging="0" w:left="0"/>
        <w:rPr/>
      </w:pPr>
      <w:bookmarkStart w:id="14" w:name="__RefHeading___Toc339_2763087389"/>
      <w:bookmarkEnd w:id="14"/>
      <w:r>
        <w:rPr/>
        <w:t>Модуль 19. Планирование безопасности для кластера Kubernetes</w:t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spacing w:lineRule="auto" w:line="259"/>
        <w:jc w:val="left"/>
        <w:rPr>
          <w:lang w:eastAsia="ru-RU"/>
        </w:rPr>
      </w:pPr>
      <w:r>
        <w:rPr>
          <w:lang w:eastAsia="ru-RU"/>
        </w:rPr>
      </w:r>
      <w:r>
        <w:br w:type="page"/>
      </w:r>
    </w:p>
    <w:p>
      <w:pPr>
        <w:pStyle w:val="Heading1"/>
        <w:spacing w:before="0" w:after="0"/>
        <w:ind w:hanging="0" w:left="0"/>
        <w:rPr>
          <w:sz w:val="36"/>
        </w:rPr>
      </w:pPr>
      <w:bookmarkStart w:id="15" w:name="__RefHeading___Toc341_2763087389"/>
      <w:bookmarkStart w:id="16" w:name="_Toc195128730"/>
      <w:bookmarkEnd w:id="15"/>
      <w:r>
        <w:rPr>
          <w:sz w:val="36"/>
        </w:rPr>
        <w:t>Вывод</w:t>
      </w:r>
      <w:bookmarkEnd w:id="16"/>
    </w:p>
    <w:p>
      <w:pPr>
        <w:pStyle w:val="Normal"/>
        <w:spacing w:before="0" w:after="0"/>
        <w:ind w:firstLine="709"/>
        <w:rPr>
          <w:rFonts w:cs="Times New Roman"/>
          <w:szCs w:val="28"/>
          <w:lang w:eastAsia="ru-RU"/>
        </w:rPr>
      </w:pPr>
      <w:r>
        <w:rPr>
          <w:lang w:eastAsia="ru-RU"/>
        </w:rPr>
        <w:tab/>
      </w:r>
      <w:r>
        <w:rPr>
          <w:rFonts w:cs="Times New Roman"/>
          <w:szCs w:val="28"/>
          <w:lang w:eastAsia="ru-RU"/>
        </w:rPr>
        <w:t xml:space="preserve">Я проделал работу по модулю №6 и 15. В данной работе мы установили необходимые нам пакеты, а также поработали с базой </w:t>
      </w:r>
      <w:r>
        <w:rPr>
          <w:rFonts w:cs="Times New Roman"/>
          <w:szCs w:val="28"/>
          <w:lang w:val="en-US" w:eastAsia="ru-RU"/>
        </w:rPr>
        <w:t>PostgreSQL</w:t>
      </w:r>
      <w:r>
        <w:rPr>
          <w:rFonts w:cs="Times New Roman"/>
          <w:szCs w:val="28"/>
          <w:lang w:eastAsia="ru-RU"/>
        </w:rPr>
        <w:t xml:space="preserve"> и </w:t>
      </w:r>
      <w:r>
        <w:rPr>
          <w:rFonts w:cs="Times New Roman"/>
          <w:szCs w:val="28"/>
          <w:lang w:val="en-US" w:eastAsia="ru-RU"/>
        </w:rPr>
        <w:t>Docker</w:t>
      </w:r>
      <w:r>
        <w:rPr>
          <w:rFonts w:cs="Times New Roman"/>
          <w:szCs w:val="28"/>
          <w:lang w:eastAsia="ru-RU"/>
        </w:rPr>
        <w:t>.</w:t>
      </w:r>
    </w:p>
    <w:p>
      <w:pPr>
        <w:pStyle w:val="Normal"/>
        <w:spacing w:before="0" w:after="160"/>
        <w:rPr>
          <w:rFonts w:cs="Times New Roman"/>
          <w:b/>
          <w:lang w:eastAsia="ru-RU"/>
        </w:rPr>
      </w:pPr>
      <w:r>
        <w:rPr>
          <w:rFonts w:cs="Times New Roman"/>
          <w:b/>
          <w:lang w:eastAsia="ru-RU"/>
        </w:rPr>
      </w:r>
    </w:p>
    <w:sectPr>
      <w:footerReference w:type="default" r:id="rId68"/>
      <w:footerReference w:type="first" r:id="rId69"/>
      <w:type w:val="nextPage"/>
      <w:pgSz w:w="11906" w:h="16838"/>
      <w:pgMar w:left="1417" w:right="992" w:gutter="0" w:header="0" w:top="1134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Times New Roman CYR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6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FreeSerif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lineRule="auto" w:line="360" w:before="0" w:after="160"/>
      <w:jc w:val="both"/>
    </w:pPr>
    <w:rPr>
      <w:rFonts w:ascii="Times New Roman" w:hAnsi="Times New Roman" w:eastAsia="Calibri" w:cs="FreeSerif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before="640" w:after="480"/>
      <w:jc w:val="center"/>
      <w:outlineLvl w:val="0"/>
    </w:pPr>
    <w:rPr>
      <w:rFonts w:eastAsia="Times New Roman" w:cs="Times New Roman"/>
      <w:b/>
      <w:sz w:val="32"/>
      <w:szCs w:val="20"/>
      <w:lang w:eastAsia="ru-RU"/>
    </w:rPr>
  </w:style>
  <w:style w:type="character" w:styleId="DefaultParagraphFont">
    <w:name w:val="Default Paragraph Font"/>
    <w:qFormat/>
    <w:rPr/>
  </w:style>
  <w:style w:type="character" w:styleId="Style13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Style14">
    <w:name w:val="Основной текст Знак"/>
    <w:basedOn w:val="DefaultParagraphFont"/>
    <w:qFormat/>
    <w:rPr/>
  </w:style>
  <w:style w:type="character" w:styleId="1">
    <w:name w:val="Заголовок 1 Знак"/>
    <w:basedOn w:val="DefaultParagraphFont"/>
    <w:qFormat/>
    <w:rPr>
      <w:rFonts w:ascii="Times New Roman" w:hAnsi="Times New Roman" w:eastAsia="Times New Roman" w:cs="Times New Roman"/>
      <w:b/>
      <w:sz w:val="32"/>
      <w:szCs w:val="20"/>
      <w:lang w:eastAsia="ru-RU"/>
    </w:rPr>
  </w:style>
  <w:style w:type="character" w:styleId="Style15">
    <w:name w:val="Основной текст с отступом Знак"/>
    <w:basedOn w:val="DefaultParagraphFont"/>
    <w:qFormat/>
    <w:rPr>
      <w:rFonts w:ascii="Times New Roman" w:hAnsi="Times New Roman" w:eastAsia="Times New Roman" w:cs="Times New Roman"/>
      <w:sz w:val="20"/>
      <w:szCs w:val="20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1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Style16">
    <w:name w:val="Верхний колонтитул Знак"/>
    <w:basedOn w:val="DefaultParagraphFont"/>
    <w:qFormat/>
    <w:rPr/>
  </w:style>
  <w:style w:type="character" w:styleId="Style17">
    <w:name w:val="Нижний колонтитул Знак"/>
    <w:basedOn w:val="DefaultParagraphFont"/>
    <w:qFormat/>
    <w:rPr/>
  </w:style>
  <w:style w:type="character" w:styleId="Style18">
    <w:name w:val="Ссылка указателя"/>
    <w:qFormat/>
    <w:rPr/>
  </w:style>
  <w:style w:type="character" w:styleId="Style19">
    <w:name w:val="Маркеры"/>
    <w:qFormat/>
    <w:rPr>
      <w:rFonts w:ascii="OpenSymbol" w:hAnsi="OpenSymbol" w:eastAsia="OpenSymbol" w:cs="OpenSymbol"/>
    </w:rPr>
  </w:style>
  <w:style w:type="character" w:styleId="Style20">
    <w:name w:val="Исходный текст"/>
    <w:qFormat/>
    <w:rPr>
      <w:rFonts w:ascii="Liberation Mono" w:hAnsi="Liberation Mono" w:eastAsia="Liberation Mono" w:cs="Liberation Mono"/>
    </w:rPr>
  </w:style>
  <w:style w:type="character" w:styleId="user">
    <w:name w:val="Ссылка указателя (user)"/>
    <w:qFormat/>
    <w:rPr/>
  </w:style>
  <w:style w:type="paragraph" w:styleId="Style2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FreeSans"/>
      <w:sz w:val="28"/>
      <w:szCs w:val="28"/>
    </w:rPr>
  </w:style>
  <w:style w:type="paragraph" w:styleId="BodyText">
    <w:name w:val="Body Text"/>
    <w:basedOn w:val="Normal"/>
    <w:link w:val="Style14"/>
    <w:pPr>
      <w:spacing w:before="0" w:after="12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22">
    <w:name w:val="Указатель"/>
    <w:basedOn w:val="Normal"/>
    <w:qFormat/>
    <w:pPr>
      <w:suppressLineNumbers/>
    </w:pPr>
    <w:rPr>
      <w:rFonts w:cs="Free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imbus Sans" w:cs="Free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BalloonText">
    <w:name w:val="Balloon Text"/>
    <w:basedOn w:val="Normal"/>
    <w:link w:val="Style13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Default">
    <w:name w:val="Default"/>
    <w:qFormat/>
    <w:pPr>
      <w:widowControl/>
      <w:suppressAutoHyphens w:val="true"/>
      <w:kinsoku w:val="true"/>
      <w:overflowPunct w:val="false"/>
      <w:autoSpaceDE w:val="true"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BodyTextIndent">
    <w:name w:val="Body Text Indent"/>
    <w:basedOn w:val="Normal"/>
    <w:link w:val="Style15"/>
    <w:pPr>
      <w:spacing w:lineRule="auto" w:line="240" w:before="0" w:after="120"/>
      <w:ind w:left="283"/>
    </w:pPr>
    <w:rPr>
      <w:rFonts w:eastAsia="Times New Roman" w:cs="Times New Roman"/>
      <w:sz w:val="20"/>
      <w:szCs w:val="20"/>
    </w:rPr>
  </w:style>
  <w:style w:type="paragraph" w:styleId="IndexHeading">
    <w:name w:val="index heading"/>
    <w:basedOn w:val="Style21"/>
    <w:pPr/>
    <w:rPr/>
  </w:style>
  <w:style w:type="paragraph" w:styleId="TOCHeading">
    <w:name w:val="TOC Heading"/>
    <w:basedOn w:val="Heading1"/>
    <w:next w:val="Normal"/>
    <w:qFormat/>
    <w:pPr>
      <w:spacing w:lineRule="auto" w:line="259" w:before="240" w:after="0"/>
      <w:jc w:val="left"/>
      <w:outlineLvl w:val="9"/>
    </w:pPr>
    <w:rPr>
      <w:rFonts w:ascii="Calibri Light" w:hAnsi="Calibri Light" w:eastAsia="Calibri" w:cs="FreeSerif"/>
      <w:b w:val="false"/>
      <w:color w:themeColor="accent1" w:themeShade="bf" w:val="2E74B5"/>
      <w:szCs w:val="32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eastAsia="Times New Roman" w:cs="Times New Roman"/>
      <w:sz w:val="24"/>
      <w:szCs w:val="24"/>
      <w:lang w:eastAsia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6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numbering" w:styleId="Style24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tif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63.png"/><Relationship Id="rId65" Type="http://schemas.openxmlformats.org/officeDocument/2006/relationships/image" Target="media/image64.png"/><Relationship Id="rId66" Type="http://schemas.openxmlformats.org/officeDocument/2006/relationships/image" Target="media/image65.png"/><Relationship Id="rId67" Type="http://schemas.openxmlformats.org/officeDocument/2006/relationships/image" Target="media/image66.png"/><Relationship Id="rId68" Type="http://schemas.openxmlformats.org/officeDocument/2006/relationships/footer" Target="footer1.xml"/><Relationship Id="rId69" Type="http://schemas.openxmlformats.org/officeDocument/2006/relationships/footer" Target="footer2.xml"/><Relationship Id="rId70" Type="http://schemas.openxmlformats.org/officeDocument/2006/relationships/numbering" Target="numbering.xml"/><Relationship Id="rId71" Type="http://schemas.openxmlformats.org/officeDocument/2006/relationships/fontTable" Target="fontTable.xml"/><Relationship Id="rId72" Type="http://schemas.openxmlformats.org/officeDocument/2006/relationships/settings" Target="settings.xml"/><Relationship Id="rId7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466</TotalTime>
  <Application>LibreOffice/25.2.3.2$Linux_X86_64 LibreOffice_project/520$Build-2</Application>
  <AppVersion>15.0000</AppVersion>
  <Pages>40</Pages>
  <Words>1059</Words>
  <Characters>6899</Characters>
  <CharactersWithSpaces>7921</CharactersWithSpaces>
  <Paragraphs>174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2023-05-30T10:02:00Z</dcterms:created>
  <dc:creator>Автоматизированные системы управления</dc:creator>
  <dc:description/>
  <dc:language>ru-RU</dc:language>
  <cp:lastModifiedBy/>
  <cp:lastPrinted>2020-12-22T12:21:00Z</cp:lastPrinted>
  <dcterms:modified xsi:type="dcterms:W3CDTF">2025-05-22T19:25:31Z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