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8.png" ContentType="image/png"/>
  <Override PartName="/word/media/rId40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53</w:t>
      </w:r>
    </w:p>
    <w:p>
      <w:pPr>
        <w:pStyle w:val="Author"/>
      </w:pPr>
      <w:r>
        <w:t xml:space="preserve">Юрченко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 без затухания. Записать данное уравнение и построить фазовый портрет гармонических и свободных колебаний.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разных науках при определенных предположениях можно описать одним дифференциальным уравнением.</w:t>
      </w:r>
      <w:r>
        <w:t xml:space="preserve"> </w:t>
      </w:r>
      <w:r>
        <w:t xml:space="preserve">Это уравнение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вид: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где:</w:t>
      </w:r>
      <w:r>
        <w:t xml:space="preserve"> </w:t>
      </w:r>
      <w:r>
        <w:t xml:space="preserve">*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w:r>
        <w:t xml:space="preserve">*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w:r>
        <w:t xml:space="preserve">*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bookmarkEnd w:id="22"/>
    <w:bookmarkStart w:id="23" w:name="теоретические-сведения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bookmarkEnd w:id="23"/>
    <w:bookmarkStart w:id="24" w:name="теоретические-сведения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4"/>
    <w:bookmarkStart w:id="25" w:name="теоретические-сведения-3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bookmarkEnd w:id="25"/>
    <w:bookmarkStart w:id="26" w:name="теоретические-сведения-4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6"/>
    <w:bookmarkStart w:id="27" w:name="теоретические-сведения-5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7"/>
    <w:bookmarkStart w:id="28" w:name="задача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без затуханий и без действий внешнейсилы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21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c затуханием и без действий внешнейсилы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c затуханием и под действием внешнейсилы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2.5</m:t>
        </m:r>
        <m:r>
          <m:t>x</m:t>
        </m:r>
        <m:r>
          <m:rPr>
            <m:sty m:val="p"/>
          </m:rPr>
          <m:t>=</m:t>
        </m:r>
        <m:r>
          <m:t>0.2</m:t>
        </m:r>
        <m:r>
          <m:rPr>
            <m:nor/>
            <m:sty m:val="p"/>
          </m:rPr>
          <m:t>sin</m:t>
        </m:r>
        <m:r>
          <m:t>2.6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49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0.9</m:t>
        </m:r>
      </m:oMath>
    </w:p>
    <w:bookmarkEnd w:id="28"/>
    <w:bookmarkStart w:id="29" w:name="Xc3bccc76b4e8eade4a3dd28d28c42ab65d1b4ac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1. В системе отсутствуют потери энергии (колебания без затухания)</w:t>
      </w:r>
    </w:p>
    <w:p>
      <w:pPr>
        <w:pStyle w:val="FirstParagraph"/>
      </w:pPr>
      <w:r>
        <w:t xml:space="preserve">Получаем уравнение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bookmarkEnd w:id="29"/>
    <w:bookmarkStart w:id="30" w:name="код-программы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w(start=1.9);</w:t>
      </w:r>
      <w:r>
        <w:br/>
      </w:r>
      <w:r>
        <w:rPr>
          <w:rStyle w:val="VerbatimChar"/>
        </w:rPr>
        <w:t xml:space="preserve">  Real x(start=1.9);</w:t>
      </w:r>
      <w:r>
        <w:br/>
      </w:r>
      <w:r>
        <w:rPr>
          <w:rStyle w:val="VerbatimChar"/>
        </w:rPr>
        <w:t xml:space="preserve">  Real y(start=0.9);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StopTime=49,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30"/>
    <w:bookmarkStart w:id="35" w:name="результат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Результат:</w:t>
      </w:r>
    </w:p>
    <w:p>
      <w:pPr>
        <w:pStyle w:val="CaptionedFigure"/>
      </w:pPr>
      <w:bookmarkStart w:id="32" w:name="fig:001"/>
      <w:r>
        <w:drawing>
          <wp:inline>
            <wp:extent cx="5334000" cy="2157609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34" w:name="fig:002"/>
      <w:r>
        <w:drawing>
          <wp:inline>
            <wp:extent cx="5334000" cy="2157609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2: Фазовый портрет для случая 1</w:t>
      </w:r>
    </w:p>
    <w:bookmarkEnd w:id="35"/>
    <w:bookmarkStart w:id="36" w:name="Xa9859bdf92a5692505b6b3c10f5ef4d66d343f5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2. В системе присутствуют потери энергии (колебания с затуханием)</w:t>
      </w:r>
    </w:p>
    <w:p>
      <w:pPr>
        <w:pStyle w:val="FirstParagraph"/>
      </w:pPr>
      <w:r>
        <w:t xml:space="preserve">Получаем уравнение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bookmarkEnd w:id="36"/>
    <w:bookmarkStart w:id="37" w:name="код-программы-1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w(start=3.9);</w:t>
      </w:r>
      <w:r>
        <w:br/>
      </w:r>
      <w:r>
        <w:rPr>
          <w:rStyle w:val="VerbatimChar"/>
        </w:rPr>
        <w:t xml:space="preserve">  parameter  Real g(start=2.9);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x(start=1.9);</w:t>
      </w:r>
      <w:r>
        <w:br/>
      </w:r>
      <w:r>
        <w:rPr>
          <w:rStyle w:val="VerbatimChar"/>
        </w:rPr>
        <w:t xml:space="preserve">  Real y(start=0.9);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-2*g*y-w*x;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StopTime=49,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37"/>
    <w:bookmarkStart w:id="42" w:name="результаты"/>
    <w:p>
      <w:pPr>
        <w:pStyle w:val="Heading2"/>
      </w:pPr>
      <w:r>
        <w:rPr>
          <w:rStyle w:val="SectionNumber"/>
        </w:rPr>
        <w:t xml:space="preserve">3.13</w:t>
      </w:r>
      <w:r>
        <w:tab/>
      </w:r>
      <w:r>
        <w:t xml:space="preserve">Результаты:</w:t>
      </w:r>
    </w:p>
    <w:p>
      <w:pPr>
        <w:pStyle w:val="CaptionedFigure"/>
      </w:pPr>
      <w:bookmarkStart w:id="39" w:name="fig:003"/>
      <w:r>
        <w:drawing>
          <wp:inline>
            <wp:extent cx="5334000" cy="2157609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41" w:name="fig:004"/>
      <w:r>
        <w:drawing>
          <wp:inline>
            <wp:extent cx="5334000" cy="2157609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4: Фазовый портрет для случая 2</w:t>
      </w:r>
    </w:p>
    <w:bookmarkEnd w:id="42"/>
    <w:bookmarkStart w:id="43" w:name="на-систему-действует-внешняя-сила."/>
    <w:p>
      <w:pPr>
        <w:pStyle w:val="Heading2"/>
      </w:pPr>
      <w:r>
        <w:rPr>
          <w:rStyle w:val="SectionNumber"/>
        </w:rPr>
        <w:t xml:space="preserve">3.14</w:t>
      </w:r>
      <w:r>
        <w:tab/>
      </w:r>
      <w:r>
        <w:t xml:space="preserve">3. На систему действует внешняя сила.</w:t>
      </w:r>
    </w:p>
    <w:p>
      <w:pPr>
        <w:pStyle w:val="FirstParagraph"/>
      </w:pPr>
      <w:r>
        <w:t xml:space="preserve">Получаем уравнение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bookmarkEnd w:id="43"/>
    <w:bookmarkStart w:id="44" w:name="код-программы-2"/>
    <w:p>
      <w:pPr>
        <w:pStyle w:val="Heading2"/>
      </w:pPr>
      <w:r>
        <w:rPr>
          <w:rStyle w:val="SectionNumber"/>
        </w:rPr>
        <w:t xml:space="preserve">3.15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w(start=5.9);</w:t>
      </w:r>
      <w:r>
        <w:br/>
      </w:r>
      <w:r>
        <w:rPr>
          <w:rStyle w:val="VerbatimChar"/>
        </w:rPr>
        <w:t xml:space="preserve">  parameter  Real g(start=4.9);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x(start=1.9);</w:t>
      </w:r>
      <w:r>
        <w:br/>
      </w:r>
      <w:r>
        <w:rPr>
          <w:rStyle w:val="VerbatimChar"/>
        </w:rPr>
        <w:t xml:space="preserve">  Real y(start=0.9);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-2*g*y-w*x + 6.9*sin(7.9*time);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StopTime=49,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44"/>
    <w:bookmarkStart w:id="49" w:name="результаты-1"/>
    <w:p>
      <w:pPr>
        <w:pStyle w:val="Heading2"/>
      </w:pPr>
      <w:r>
        <w:rPr>
          <w:rStyle w:val="SectionNumber"/>
        </w:rPr>
        <w:t xml:space="preserve">3.16</w:t>
      </w:r>
      <w:r>
        <w:tab/>
      </w:r>
      <w:r>
        <w:t xml:space="preserve">Результаты:</w:t>
      </w:r>
    </w:p>
    <w:p>
      <w:pPr>
        <w:pStyle w:val="CaptionedFigure"/>
      </w:pPr>
      <w:bookmarkStart w:id="46" w:name="fig:005"/>
      <w:r>
        <w:drawing>
          <wp:inline>
            <wp:extent cx="5334000" cy="2157609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48" w:name="fig:006"/>
      <w:r>
        <w:drawing>
          <wp:inline>
            <wp:extent cx="5334000" cy="2157609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Фазовый портрет для случая 3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построили решения уравнений гармонического осциллятора, а также фазовые портреты для трех случаев:</w:t>
      </w:r>
      <w:r>
        <w:t xml:space="preserve"> </w:t>
      </w:r>
      <w:r>
        <w:t xml:space="preserve">1. Колебания гармонического осциллятора без затуханий и без действий внешней силы</w:t>
      </w:r>
      <w:r>
        <w:t xml:space="preserve"> </w:t>
      </w:r>
      <w:r>
        <w:t xml:space="preserve">2. Колебания гармонического осциллятора c затуханием и без действий внешней силы</w:t>
      </w:r>
      <w:r>
        <w:t xml:space="preserve"> </w:t>
      </w:r>
      <w:r>
        <w:t xml:space="preserve">3. Колебания гармонического осциллятора c затуханием и под действием внешней силы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Юрченко Сергей НФИбд-02-19</dc:creator>
  <dc:language>ru-RU</dc:language>
  <cp:keywords/>
  <dcterms:created xsi:type="dcterms:W3CDTF">2022-05-23T12:14:12Z</dcterms:created>
  <dcterms:modified xsi:type="dcterms:W3CDTF">2022-05-23T12:14:12Z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53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