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after="80" w:before="200" w:line="240" w:lineRule="auto"/>
            <w:ind w:left="0" w:firstLine="0"/>
            <w:contextualSpacing w:val="0"/>
            <w:rPr>
              <w:b w:val="1"/>
            </w:rPr>
          </w:pPr>
          <w:hyperlink w:anchor="_csrv1hj1zrp3">
            <w:r w:rsidDel="00000000" w:rsidR="00000000" w:rsidRPr="00000000">
              <w:rPr>
                <w:b w:val="1"/>
                <w:rtl w:val="0"/>
              </w:rPr>
              <w:t xml:space="preserve">Страны</w:t>
            </w:r>
          </w:hyperlink>
          <w:r w:rsidDel="00000000" w:rsidR="00000000" w:rsidRPr="00000000">
            <w:rPr>
              <w:b w:val="1"/>
              <w:rtl w:val="0"/>
            </w:rPr>
            <w:tab/>
          </w:r>
          <w:r w:rsidDel="00000000" w:rsidR="00000000" w:rsidRPr="00000000">
            <w:fldChar w:fldCharType="begin"/>
            <w:instrText xml:space="preserve"> PAGEREF _csrv1hj1zrp3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5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csrv1hj1zrp3" w:id="14"/>
      <w:bookmarkEnd w:id="14"/>
      <w:r w:rsidDel="00000000" w:rsidR="00000000" w:rsidRPr="00000000">
        <w:rPr>
          <w:sz w:val="24"/>
          <w:szCs w:val="24"/>
          <w:rtl w:val="0"/>
        </w:rPr>
        <w:t xml:space="preserve">Страны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стран</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страны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Обновление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