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after="160"/>
      </w:pPr>
      <w:r>
        <w:rPr>
          <w:b/>
          <w:sz w:val="49"/>
        </w:rPr>
        <w:t>AI POLICY OF MARINA KEYS REALTY</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968"/>
        <w:gridCol w:w="4968"/>
      </w:tblGrid>
      <w:tr>
        <w:tc>
          <w:tcPr>
            <w:tcW w:type="dxa" w:w="9936"/>
            <w:gridSpan w:val="2"/>
            <w:shd w:val="clear" w:fill="FFF6D6"/>
          </w:tcPr>
          <w:p>
            <w:r/>
            <w:r>
              <w:rPr>
                <w:sz w:val="18"/>
              </w:rPr>
              <w:t>This AI Policy has been drawn up in accordance with the Model AI Policy of the Organisation v0.1 and sets out uniform rules for the use of artificial intelligence in the provision of services to customers by the real estate agency Marina Keys Realty.</w:t>
            </w:r>
          </w:p>
        </w:tc>
      </w:tr>
      <w:tr>
        <w:tc>
          <w:tcPr>
            <w:tcW w:type="dxa" w:w="4968"/>
          </w:tcPr>
          <w:p>
            <w:r/>
            <w:r>
              <w:rPr>
                <w:b/>
                <w:sz w:val="18"/>
              </w:rPr>
              <w:t>AI Policy identifier</w:t>
            </w:r>
          </w:p>
        </w:tc>
        <w:tc>
          <w:tcPr>
            <w:tcW w:type="dxa" w:w="4968"/>
          </w:tcPr>
          <w:p>
            <w:r/>
            <w:r>
              <w:rPr>
                <w:sz w:val="18"/>
              </w:rPr>
              <w:t>MKR-AIP</w:t>
            </w:r>
          </w:p>
        </w:tc>
      </w:tr>
      <w:tr>
        <w:tc>
          <w:tcPr>
            <w:tcW w:type="dxa" w:w="4968"/>
          </w:tcPr>
          <w:p>
            <w:r/>
            <w:r>
              <w:rPr>
                <w:b/>
                <w:sz w:val="18"/>
              </w:rPr>
              <w:t>Version and effective date</w:t>
            </w:r>
          </w:p>
        </w:tc>
        <w:tc>
          <w:tcPr>
            <w:tcW w:type="dxa" w:w="4968"/>
          </w:tcPr>
          <w:p>
            <w:r/>
            <w:r>
              <w:rPr>
                <w:sz w:val="18"/>
              </w:rPr>
              <w:t>2.0 · from 1 September 2026</w:t>
            </w:r>
          </w:p>
        </w:tc>
      </w:tr>
      <w:tr>
        <w:tc>
          <w:tcPr>
            <w:tcW w:type="dxa" w:w="4968"/>
          </w:tcPr>
          <w:p>
            <w:r/>
            <w:r>
              <w:rPr>
                <w:b/>
                <w:sz w:val="18"/>
              </w:rPr>
              <w:t>Organisation</w:t>
            </w:r>
          </w:p>
        </w:tc>
        <w:tc>
          <w:tcPr>
            <w:tcW w:type="dxa" w:w="4968"/>
          </w:tcPr>
          <w:p>
            <w:r/>
            <w:r>
              <w:rPr>
                <w:sz w:val="18"/>
              </w:rPr>
              <w:t>Marina Keys Realty, real estate agency (Valencia, Spain)</w:t>
            </w:r>
          </w:p>
        </w:tc>
      </w:tr>
      <w:tr>
        <w:tc>
          <w:tcPr>
            <w:tcW w:type="dxa" w:w="4968"/>
          </w:tcPr>
          <w:p>
            <w:r/>
            <w:r>
              <w:rPr>
                <w:b/>
                <w:sz w:val="18"/>
              </w:rPr>
              <w:t>Approved by</w:t>
            </w:r>
          </w:p>
        </w:tc>
        <w:tc>
          <w:tcPr>
            <w:tcW w:type="dxa" w:w="4968"/>
          </w:tcPr>
          <w:p>
            <w:r/>
            <w:r>
              <w:rPr>
                <w:sz w:val="18"/>
              </w:rPr>
              <w:t>the chief executive officer</w:t>
            </w:r>
          </w:p>
        </w:tc>
      </w:tr>
      <w:tr>
        <w:tc>
          <w:tcPr>
            <w:tcW w:type="dxa" w:w="4968"/>
          </w:tcPr>
          <w:p>
            <w:r/>
            <w:r>
              <w:rPr>
                <w:b/>
                <w:sz w:val="18"/>
              </w:rPr>
              <w:t>Official publication</w:t>
            </w:r>
          </w:p>
        </w:tc>
        <w:tc>
          <w:tcPr>
            <w:tcW w:type="dxa" w:w="4968"/>
          </w:tcPr>
          <w:p>
            <w:r/>
            <w:r>
              <w:rPr>
                <w:sz w:val="18"/>
              </w:rPr>
              <w:t>https://marinakeysrealestate.com/ai</w:t>
            </w:r>
          </w:p>
        </w:tc>
      </w:tr>
      <w:tr>
        <w:tc>
          <w:tcPr>
            <w:tcW w:type="dxa" w:w="4968"/>
          </w:tcPr>
          <w:p>
            <w:r/>
            <w:r>
              <w:rPr>
                <w:b/>
                <w:sz w:val="18"/>
              </w:rPr>
              <w:t>Machine-readable representation</w:t>
            </w:r>
          </w:p>
        </w:tc>
        <w:tc>
          <w:tcPr>
            <w:tcW w:type="dxa" w:w="4968"/>
          </w:tcPr>
          <w:p>
            <w:r/>
            <w:r>
              <w:rPr>
                <w:sz w:val="18"/>
              </w:rPr>
              <w:t>policy_MKR-AIP_v2.0.json</w:t>
            </w:r>
          </w:p>
        </w:tc>
      </w:tr>
      <w:tr>
        <w:tc>
          <w:tcPr>
            <w:tcW w:type="dxa" w:w="4968"/>
          </w:tcPr>
          <w:p>
            <w:r/>
            <w:r>
              <w:rPr>
                <w:b/>
                <w:sz w:val="18"/>
              </w:rPr>
              <w:t>Version of the model form</w:t>
            </w:r>
          </w:p>
        </w:tc>
        <w:tc>
          <w:tcPr>
            <w:tcW w:type="dxa" w:w="4968"/>
          </w:tcPr>
          <w:p>
            <w:r/>
            <w:r>
              <w:rPr>
                <w:sz w:val="18"/>
              </w:rPr>
              <w:t>0.1</w:t>
            </w:r>
          </w:p>
        </w:tc>
      </w:tr>
    </w:tbl>
    <w:p>
      <w:pPr>
        <w:spacing w:after="40"/>
      </w:pPr>
    </w:p>
    <w:p>
      <w:pPr>
        <w:pStyle w:val="1"/>
      </w:pPr>
      <w:r>
        <w:t>I. General provisions</w:t>
      </w:r>
    </w:p>
    <w:p>
      <w:pPr>
        <w:spacing w:after="120"/>
      </w:pPr>
      <w:r>
        <w:rPr>
          <w:b/>
          <w:sz w:val="21"/>
        </w:rPr>
        <w:t xml:space="preserve">1. Subject matter. </w:t>
      </w:r>
      <w:r>
        <w:rPr>
          <w:sz w:val="21"/>
        </w:rPr>
        <w:t>This AI Policy sets out the rules under which Marina Keys Realty provides AI services based on the direct interaction of a customer with AI, defines the obligations of the organisation, the responsibility for the use of AI and the measures that secure compliance with the requirements set out here. The internal use of AI by employees outside the provision of services to customers is not governed by this AI Policy.</w:t>
      </w:r>
    </w:p>
    <w:p>
      <w:pPr>
        <w:spacing w:after="120"/>
      </w:pPr>
      <w:r>
        <w:rPr>
          <w:b/>
          <w:sz w:val="21"/>
        </w:rPr>
        <w:t xml:space="preserve">2. Definition of an AI service. </w:t>
      </w:r>
      <w:r>
        <w:rPr>
          <w:sz w:val="21"/>
        </w:rPr>
        <w:t>For the purposes of this AI Policy, an AI service is a service the provision of which is organised in such a way that the customer submits a query directly to AI and through AI receives information on the course of the provision of the service and the outcome of the service, or confirmation of an action performed, irrespective of whether the provision was in fact completed.</w:t>
      </w:r>
    </w:p>
    <w:p>
      <w:pPr>
        <w:spacing w:after="120"/>
      </w:pPr>
      <w:r>
        <w:rPr>
          <w:b/>
          <w:sz w:val="21"/>
        </w:rPr>
        <w:t xml:space="preserve">3. The documentation system. </w:t>
      </w:r>
      <w:r>
        <w:rPr>
          <w:sz w:val="21"/>
        </w:rPr>
        <w:t>This AI Policy sets out the general requirements for all AI services of the organisation. The AI services and their Passports are listed in the Register of AI Services (Annex 1). The AI Service Passport specifies those requirements for a particular service and shall not weaken them. The AI Receipt records information on the actual course, the actions and the outcome of a particular interaction and is drawn up in the AI Receipt form of Marina Keys Realty MKR-RCP. The documents of the system are prepared and approved by the chief executive officer, verified by the officer responsible for the use of AI (the AI officer) and amended under clauses 19 and 20. Every document of the system has a human-readable and a machine-readable representation; both are produced from one approved version and shall not differ in the obligations, conditions, AI authority, restrictions or versions they express.</w:t>
      </w:r>
    </w:p>
    <w:p>
      <w:pPr>
        <w:spacing w:after="120"/>
      </w:pPr>
      <w:r>
        <w:rPr>
          <w:b/>
          <w:sz w:val="21"/>
        </w:rPr>
        <w:t xml:space="preserve">4. Relationship with other documents of the organisation. </w:t>
      </w:r>
      <w:r>
        <w:rPr>
          <w:sz w:val="21"/>
        </w:rPr>
        <w:t>This AI Policy applies together with the other policies and rules of the organisation. Matters of customer data in the provision of AI services are governed by clause 9 and Annex 4 to this AI Policy; matters of the terms of real estate transactions, payment and contractual relations are governed by the relevant documents of the organisation and by law. This AI Policy sets out the declared order of the use of AI and does not confirm that a particular interaction complied with it. Publication of this AI Policy is not a confirmation of compliance with the applicable requirements. Compliance is assessed by the person or body within whose competence such assessment falls.</w:t>
      </w:r>
    </w:p>
    <w:p>
      <w:pPr>
        <w:spacing w:after="120"/>
      </w:pPr>
      <w:r>
        <w:rPr>
          <w:b/>
          <w:sz w:val="21"/>
        </w:rPr>
        <w:t xml:space="preserve">5. Register of AI Services. </w:t>
      </w:r>
      <w:r>
        <w:rPr>
          <w:sz w:val="21"/>
        </w:rPr>
        <w:t>The Register of AI Services and of their Passports is set out in Annex 1. An AI service may be provided to customers only while its status in the Register is «in force». The provision of an AI service that is not entered in the Register is not permitted. The statuses of the Register are: «under development», «in force», «suspended», «terminated».</w:t>
      </w:r>
    </w:p>
    <w:p>
      <w:pPr>
        <w:pStyle w:val="1"/>
      </w:pPr>
      <w:r>
        <w:t>II. Rules for the use of AI in the provision of services</w:t>
      </w:r>
    </w:p>
    <w:p>
      <w:pPr>
        <w:spacing w:after="120"/>
      </w:pPr>
      <w:r>
        <w:rPr>
          <w:b/>
          <w:sz w:val="21"/>
        </w:rPr>
        <w:t xml:space="preserve">6. Disclosure of the use of AI. </w:t>
      </w:r>
      <w:r>
        <w:rPr>
          <w:sz w:val="21"/>
        </w:rPr>
        <w:t>Before any substantive exchange begins, AI informs the customer that it is the AI assistant of Marina Keys Realty, and confirms this whenever the customer asks directly, at any point of the interaction. AI shall not pass itself off as an employee and shall not give a fictitious employee name. When an employee joins, the customer is informed that the interaction is continued by an employee, with that employee's position or name.</w:t>
      </w:r>
    </w:p>
    <w:p>
      <w:pPr>
        <w:spacing w:after="120"/>
      </w:pPr>
      <w:r>
        <w:rPr>
          <w:b/>
          <w:sz w:val="21"/>
        </w:rPr>
        <w:t xml:space="preserve">7. Form of participation, AI authority and restrictions. </w:t>
      </w:r>
      <w:r>
        <w:rPr>
          <w:sz w:val="21"/>
        </w:rPr>
        <w:t>The authority of AI in the provision of a particular AI service is set out in the AI Service Passport. The Passport states the procedures performed by AI, the decisions AI prepares or takes, the actions that require the confirmation of the customer or of an employee, and the restrictions and prohibitions. Restrictions and prohibitions are set in respect of conditions the occurrence of which the system is able to record. AI shall not:</w:t>
      </w:r>
    </w:p>
    <w:p>
      <w:pPr>
        <w:spacing w:after="40"/>
        <w:ind w:left="360"/>
      </w:pPr>
      <w:r>
        <w:rPr>
          <w:sz w:val="21"/>
        </w:rPr>
        <w:t>(a) perform actions that are not provided for by the Passport;</w:t>
      </w:r>
    </w:p>
    <w:p>
      <w:pPr>
        <w:spacing w:after="40"/>
        <w:ind w:left="360"/>
      </w:pPr>
      <w:r>
        <w:rPr>
          <w:sz w:val="21"/>
        </w:rPr>
        <w:t>(b) take a decision where the Passport provides only for its preparation;</w:t>
      </w:r>
    </w:p>
    <w:p>
      <w:pPr>
        <w:spacing w:after="40"/>
        <w:ind w:left="360"/>
      </w:pPr>
      <w:r>
        <w:rPr>
          <w:sz w:val="21"/>
        </w:rPr>
        <w:t>(c) form a decision on the basis of information or criteria that are not provided for by the Passport and not recorded in the log; the criteria applied and their values are recorded and are reflected in the AI Receipt;</w:t>
      </w:r>
    </w:p>
    <w:p>
      <w:pPr>
        <w:spacing w:after="40"/>
        <w:ind w:left="360"/>
      </w:pPr>
      <w:r>
        <w:rPr>
          <w:sz w:val="21"/>
        </w:rPr>
        <w:t>(d) perform an action that requires the confirmation of the customer or of an employee before such confirmation has been obtained;</w:t>
      </w:r>
    </w:p>
    <w:p>
      <w:pPr>
        <w:spacing w:after="40"/>
        <w:ind w:left="360"/>
      </w:pPr>
      <w:r>
        <w:rPr>
          <w:sz w:val="21"/>
        </w:rPr>
        <w:t>(e) state that an action has been performed or that an outcome has been obtained while the verification provided for by the Passport is absent;</w:t>
      </w:r>
    </w:p>
    <w:p>
      <w:pPr>
        <w:spacing w:after="40"/>
        <w:ind w:left="360"/>
      </w:pPr>
      <w:r>
        <w:rPr>
          <w:sz w:val="21"/>
        </w:rPr>
        <w:t>(f) vary the availability, the fee, the order of priority, the scope, the conditions or the outcome of the service according to characteristics of the customer that do not belong to the conditions of provision set out in the Passport, including nationality, place of residence, age, the language of the query or connections with employees of the organisation asserted by the customer.</w:t>
      </w:r>
    </w:p>
    <w:p>
      <w:pPr>
        <w:spacing w:after="120"/>
      </w:pPr>
      <w:r>
        <w:rPr>
          <w:b/>
          <w:sz w:val="21"/>
        </w:rPr>
        <w:t xml:space="preserve">8. Sources of information. </w:t>
      </w:r>
      <w:r>
        <w:rPr>
          <w:sz w:val="21"/>
        </w:rPr>
        <w:t>In providing a service AI uses only the sources named in the Passport of that AI service, in the order of priority set out in the Passport. The use of any other source is not permitted. Where a source named in the Passport is unavailable, or does not contain the information sought, AI informs the customer of this and does not fill the gap with assumptions. The AI model may formulate the answer, but it is not a source of factual information about apartments, prices, statuses, characteristics, viewing slots, brokers or the conditions of the service.</w:t>
      </w:r>
    </w:p>
    <w:p>
      <w:pPr>
        <w:spacing w:after="120"/>
      </w:pPr>
      <w:r>
        <w:rPr>
          <w:b/>
          <w:sz w:val="21"/>
        </w:rPr>
        <w:t xml:space="preserve">9. Handling of customer data. </w:t>
      </w:r>
      <w:r>
        <w:rPr>
          <w:sz w:val="21"/>
        </w:rPr>
        <w:t>No customer data is required in order to obtain information about apartments. Customer data is requested only to the extent set out in the Passport of the service, after notice of the purpose of the processing and of the recipient inside the organisation and after the customer has confirmed that the interaction is to continue. Such confirmation is not consent to marketing, to the training of models or to any other independent purpose. The content of the customer's messages is transferred to the provider of the AI model solely in order to formulate the answer within the interaction; the list of providers and of the information transferred is set out in Annex 3. Customer data is not used for the training or debugging of AI models. Technical records of an interaction may be used to verify the quality of the service, to handle a request and to investigate an incident, subject to the access restrictions in force. The purposes, the recipients, the retention period, the rights of the customer and the way those rights are exercised are set out in Annex 4 to this AI Policy. Information on a request and the record of an interaction are kept for 12 months from the date of the interaction. After that period the records are deleted or anonymised, unless they must be kept further in connection with the handling of a complaint, a dispute, a verification or the investigation of an incident.</w:t>
      </w:r>
    </w:p>
    <w:p>
      <w:pPr>
        <w:spacing w:after="120"/>
      </w:pPr>
      <w:r>
        <w:rPr>
          <w:b/>
          <w:sz w:val="21"/>
        </w:rPr>
        <w:t xml:space="preserve">10. Participation of an employee. </w:t>
      </w:r>
      <w:r>
        <w:rPr>
          <w:sz w:val="21"/>
        </w:rPr>
        <w:t>An employee participates in the provision of AI services under the handover model: AI conducts the interaction on its own and, when the grounds set out in the Passport arise or at the customer's request, hands the request over to an employee together with the history of the matter, so that the customer does not have to set it out again. A handover has taken place only when it is confirmed by the operating system; giving the customer an employee's contact details is not a handover. The grounds, the information to be transferred and the time limits are set out in the Passport. The general means of contact are set out in Annex 2. Decisions based solely on automated processing which produce legal effects or similarly significant effects for the customer are not taken in the provision of the organisation's AI services. Irrespective of that, the customer has the right to request that an employee review any outcome of an interaction with AI, to express his or her point of view and to contest the outcome in the manner set out in Annex 2. Such a review is a verification of the outcome by an employee and is not a review of an automated decision.</w:t>
      </w:r>
    </w:p>
    <w:p>
      <w:pPr>
        <w:spacing w:after="120"/>
      </w:pPr>
      <w:r>
        <w:rPr>
          <w:b/>
          <w:sz w:val="21"/>
        </w:rPr>
        <w:t xml:space="preserve">11. Information on the course of the service. </w:t>
      </w:r>
      <w:r>
        <w:rPr>
          <w:sz w:val="21"/>
        </w:rPr>
        <w:t>The customer is informed of material changes in the status of an AI service: a request for additional information, an inability to verify the outcome, a handover to an employee, a delay, completion, suspension or termination. The material stages are set out in the Passport of the service concerned. The customer is informed in the language of his or her query, within the languages set out in the Passport, in plain language, without internal jargon or unexplained abbreviations, stating the specific status, the outcome and the next permitted step.</w:t>
      </w:r>
    </w:p>
    <w:p>
      <w:pPr>
        <w:spacing w:after="120"/>
      </w:pPr>
      <w:r>
        <w:rPr>
          <w:b/>
          <w:sz w:val="21"/>
        </w:rPr>
        <w:t xml:space="preserve">12. Recording and issuing the AI Receipt. </w:t>
      </w:r>
      <w:r>
        <w:rPr>
          <w:sz w:val="21"/>
        </w:rPr>
        <w:t>Material information, sources, versions, confirmations, actions, outcomes, errors identified, the participation of an employee and the version of the AI system used are recorded by the interaction platform. The records carry timestamps and are not altered once entered; a correction is made as a new record referring to the one corrected. On completion of every interaction, whether successful, unsuccessful or interrupted, an AI Receipt is produced and issued to the customer, including at the customer's request during the interaction. AI produces the substantive part of the AI Receipt solely from the frozen package of records supplied by the platform, without reconstructing events from memory; the number, the server time, the checksum, the verification address and the archive status are assigned by the platform. The issued AI Receipt is checked against the platform records; any divergence is registered as an error under clause 17. Where immediate issue is impossible, the AI Receipt is stored, and the way a copy is obtained is set out in Annex 2. Third-party information and internal information may be redacted from the customer copy, with a note of the redaction and of its ground. Logs and AI Receipts are kept for at least 12 months from the date of the interaction, and where there is a request, a dispute or an investigation, until it is concluded; the period for a particular service may be extended by its Passport.</w:t>
      </w:r>
    </w:p>
    <w:p>
      <w:pPr>
        <w:pStyle w:val="1"/>
      </w:pPr>
      <w:r>
        <w:t>III. Allocation of responsibility in the use of AI</w:t>
      </w:r>
    </w:p>
    <w:p>
      <w:pPr>
        <w:spacing w:after="120"/>
      </w:pPr>
      <w:r>
        <w:rPr>
          <w:b/>
          <w:sz w:val="21"/>
        </w:rPr>
        <w:t xml:space="preserve">13. Responsibility of the organisation. </w:t>
      </w:r>
      <w:r>
        <w:rPr>
          <w:sz w:val="21"/>
        </w:rPr>
        <w:t>Marina Keys Realty is responsible to the customer for the use of AI. An error of the AI assistant is an error of the organisation. The organisation is responsible for the actions and the statements of the AI assistant made within an AI service, and it secures compliance with this AI Policy and with the AI Service Passports. The manner in which an outcome is verified, an error is corrected and the position of the customer is restored is set out in the AI Service Passport and in the applicable rules of the organisation.</w:t>
      </w:r>
    </w:p>
    <w:p>
      <w:pPr>
        <w:spacing w:after="120"/>
      </w:pPr>
      <w:r>
        <w:rPr>
          <w:b/>
          <w:sz w:val="21"/>
        </w:rPr>
        <w:t xml:space="preserve">14. The AI officer. </w:t>
      </w:r>
      <w:r>
        <w:rPr>
          <w:sz w:val="21"/>
        </w:rPr>
        <w:t>The officer responsible for the use of AI in the organisation (the AI officer) is the employee holding the position of customer service director. The AI officer coordinates the life cycle of the AI services and, in the event of errors and incidents, the investigation, the identification of the interactions affected, the corrective actions and the removal of the consequences. The AI officer decides whether the provision of an AI service is resumed after an error or an incident, on the basis of the documented results of the investigation, the corrective actions carried out and a repeat verification. The grounds of that decision are recorded. The means of contact are set out in Annex 2.</w:t>
      </w:r>
    </w:p>
    <w:p>
      <w:pPr>
        <w:spacing w:after="120"/>
      </w:pPr>
      <w:r>
        <w:rPr>
          <w:b/>
          <w:sz w:val="21"/>
        </w:rPr>
        <w:t xml:space="preserve">15. Responsibility of the service owner. </w:t>
      </w:r>
      <w:r>
        <w:rPr>
          <w:sz w:val="21"/>
        </w:rPr>
        <w:t>An owner is appointed for every AI service, and the owner's position is stated in the Passport of the service. The service owner is responsible for organising the provision of the service and for keeping its Passport current, and does not replace the AI officer of the organisation.</w:t>
      </w:r>
    </w:p>
    <w:p>
      <w:pPr>
        <w:spacing w:after="120"/>
      </w:pPr>
      <w:r>
        <w:rPr>
          <w:b/>
          <w:sz w:val="21"/>
        </w:rPr>
        <w:t xml:space="preserve">16. External providers and technical operators. </w:t>
      </w:r>
      <w:r>
        <w:rPr>
          <w:sz w:val="21"/>
        </w:rPr>
        <w:t>Information on external providers, integrators and technical operators is set out in Annex 3. For each of them the function performed, the AI services concerned and the information transferred are stated. Engaging such persons does not release the organisation from compliance with this AI Policy. Properties of the AI model that cannot be removed by its configuration, including the ability to produce inaccurate information and the general limitations arising from its training, fall within the responsibility of the provider of the model. The demarcation between the obligations of the organisation and those of each provider is set out in Annex 3. That demarcation operates in the internal relations between the organisation and its providers and does not limit the responsibility of the organisation towards the customer.</w:t>
      </w:r>
    </w:p>
    <w:p>
      <w:pPr>
        <w:pStyle w:val="1"/>
      </w:pPr>
      <w:r>
        <w:t>IV. Securing compliance with the AI Policy</w:t>
      </w:r>
    </w:p>
    <w:p>
      <w:pPr>
        <w:spacing w:after="120"/>
      </w:pPr>
      <w:r>
        <w:rPr>
          <w:b/>
          <w:sz w:val="21"/>
        </w:rPr>
        <w:t xml:space="preserve">17. Errors and incidents. </w:t>
      </w:r>
      <w:r>
        <w:rPr>
          <w:sz w:val="21"/>
        </w:rPr>
        <w:t>A possible error is registered and passed to the AI officer. The check of a report of an error is completed within 5 working days of registration. An error is treated as confirmed where the recorded information, behaviour or outcome does not correspond to the AI Policy or to the Passport. Where there is a risk of continuing harm, the function or the service affected is suspended. The organisation determines the period of the breach and the persons and interactions affected, arranges for the correction of the information transferred and of the decisions based on it, removes the consequences and notifies the persons affected in the cases prescribed. A confirmed error is corrected at no charge to the customer.</w:t>
      </w:r>
    </w:p>
    <w:p>
      <w:pPr>
        <w:spacing w:after="120"/>
      </w:pPr>
      <w:r>
        <w:rPr>
          <w:b/>
          <w:sz w:val="21"/>
        </w:rPr>
        <w:t xml:space="preserve">18. Requests and complaints. </w:t>
      </w:r>
      <w:r>
        <w:rPr>
          <w:sz w:val="21"/>
        </w:rPr>
        <w:t>The ways of reporting an error, requesting an employee and making a complaint are set out in Annex 2. A complaint is handled by an employee who did not take part in the action complained of. Where there is no such employee, the complaint is handled by the chief executive officer. The absence of an AI Receipt is not a ground for refusing to accept or to handle a request; to speed up the handling it is advisable to state the number of the AI Receipt, the date and the name of the service.</w:t>
      </w:r>
    </w:p>
    <w:p>
      <w:pPr>
        <w:spacing w:after="120"/>
      </w:pPr>
      <w:r>
        <w:rPr>
          <w:b/>
          <w:sz w:val="21"/>
        </w:rPr>
        <w:t xml:space="preserve">19. Monitoring and verification; material changes. </w:t>
      </w:r>
      <w:r>
        <w:rPr>
          <w:sz w:val="21"/>
        </w:rPr>
        <w:t>The organisation verifies compliance with this AI Policy and with the Passports before the use of AI begins, periodically and after material changes, including by regular test purchases. The frequency of monitoring and verification is set by the AI officer, and shall be no less than once a quarter. Material changes include a change of the model or of its version, of the provider, of the system prompt, of the sources of information, of the authority of AI, or of an integration that affects the provision of the service. Whether any other change is material is decided by the AI officer. A material change is verified before it is applied, and the version of the Passport in force is updated before the service is provided. A change of the model version made by the provider without the involvement of the organisation is registered as a material change from the date on which it is identified.</w:t>
      </w:r>
    </w:p>
    <w:p>
      <w:pPr>
        <w:pStyle w:val="1"/>
      </w:pPr>
      <w:r>
        <w:t>V. Final provisions</w:t>
      </w:r>
    </w:p>
    <w:p>
      <w:pPr>
        <w:spacing w:after="120"/>
      </w:pPr>
      <w:r>
        <w:rPr>
          <w:b/>
          <w:sz w:val="21"/>
        </w:rPr>
        <w:t xml:space="preserve">20. Review, versions and publication. </w:t>
      </w:r>
      <w:r>
        <w:rPr>
          <w:sz w:val="21"/>
        </w:rPr>
        <w:t>This AI Policy takes effect on the date of its approval and is reviewed at least once a year and whenever there are material changes in the activity of the organisation or in the applicable requirements. The AI Policy, the Register and the Passports have a version and an effective date; previous versions are kept together with evidence of their publication. For every interaction it is always possible to establish which version of the documents was in force: an interaction is assessed under the version in force at the time, and amendments do not rewrite it retrospectively. Publication takes place at the permanent address given in the identification block, stating the version and the date; notice of amendments is posted at the same address.</w:t>
      </w:r>
    </w:p>
    <w:p>
      <w:pPr>
        <w:pStyle w:val="1"/>
      </w:pPr>
      <w:r>
        <w:t>Annexes to the AI Policy of Marina Keys Realty</w:t>
      </w:r>
    </w:p>
    <w:p>
      <w:pPr>
        <w:spacing w:after="120"/>
      </w:pPr>
      <w:r>
        <w:rPr>
          <w:b w:val="0"/>
          <w:i/>
          <w:sz w:val="19"/>
        </w:rPr>
        <w:t>The annexes contain the variable information: the Register of AI Services, the common contacts and the handling of requests, and the list of external providers and technical operators. The number of a row is formed from the number of the section and of the clause of the AI Policy: [section].[clause].[row].</w:t>
      </w:r>
    </w:p>
    <w:p>
      <w:pPr>
        <w:pStyle w:val="21"/>
        <w:keepNext/>
      </w:pPr>
      <w:r>
        <w:t>Annex 1. Register of AI Services and of their Passports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987"/>
        <w:gridCol w:w="1987"/>
        <w:gridCol w:w="1987"/>
        <w:gridCol w:w="1987"/>
        <w:gridCol w:w="1987"/>
      </w:tblGrid>
      <w:tr>
        <w:trPr>
          <w:cantSplit/>
          <w:tblHeader/>
        </w:trPr>
        <w:tc>
          <w:tcPr>
            <w:tcW w:type="dxa" w:w="1987"/>
            <w:shd w:val="clear" w:fill="F2C200"/>
          </w:tcPr>
          <w:p>
            <w:pPr>
              <w:keepNext/>
              <w:spacing w:after="40"/>
            </w:pPr>
            <w:r/>
            <w:r>
              <w:rPr>
                <w:b/>
                <w:sz w:val="17"/>
              </w:rPr>
              <w:t>No.</w:t>
            </w:r>
          </w:p>
        </w:tc>
        <w:tc>
          <w:tcPr>
            <w:tcW w:type="dxa" w:w="1987"/>
            <w:shd w:val="clear" w:fill="F2C200"/>
          </w:tcPr>
          <w:p>
            <w:pPr>
              <w:keepNext/>
              <w:spacing w:after="40"/>
            </w:pPr>
            <w:r/>
            <w:r>
              <w:rPr>
                <w:b/>
                <w:sz w:val="17"/>
              </w:rPr>
              <w:t>Name of the AI service</w:t>
            </w:r>
          </w:p>
        </w:tc>
        <w:tc>
          <w:tcPr>
            <w:tcW w:type="dxa" w:w="1987"/>
            <w:shd w:val="clear" w:fill="F2C200"/>
          </w:tcPr>
          <w:p>
            <w:pPr>
              <w:keepNext/>
              <w:spacing w:after="40"/>
            </w:pPr>
            <w:r/>
            <w:r>
              <w:rPr>
                <w:b/>
                <w:sz w:val="17"/>
              </w:rPr>
              <w:t>Passport (applicable version, or the last version in force)</w:t>
            </w:r>
          </w:p>
        </w:tc>
        <w:tc>
          <w:tcPr>
            <w:tcW w:type="dxa" w:w="1987"/>
            <w:shd w:val="clear" w:fill="F2C200"/>
          </w:tcPr>
          <w:p>
            <w:pPr>
              <w:keepNext/>
              <w:spacing w:after="40"/>
            </w:pPr>
            <w:r/>
            <w:r>
              <w:rPr>
                <w:b/>
                <w:sz w:val="17"/>
              </w:rPr>
              <w:t>Status</w:t>
            </w:r>
          </w:p>
        </w:tc>
        <w:tc>
          <w:tcPr>
            <w:tcW w:type="dxa" w:w="1987"/>
            <w:shd w:val="clear" w:fill="F2C200"/>
          </w:tcPr>
          <w:p>
            <w:pPr>
              <w:keepNext/>
              <w:spacing w:after="40"/>
            </w:pPr>
            <w:r/>
            <w:r>
              <w:rPr>
                <w:b/>
                <w:sz w:val="17"/>
              </w:rPr>
              <w:t>Date of the change of status</w:t>
            </w:r>
          </w:p>
        </w:tc>
      </w:tr>
      <w:tr>
        <w:trPr>
          <w:cantSplit/>
        </w:trPr>
        <w:tc>
          <w:tcPr>
            <w:tcW w:type="dxa" w:w="1987"/>
          </w:tcPr>
          <w:p>
            <w:pPr>
              <w:spacing w:after="40"/>
            </w:pPr>
            <w:r/>
            <w:r>
              <w:rPr>
                <w:sz w:val="17"/>
              </w:rPr>
              <w:t>1.5.1</w:t>
            </w:r>
          </w:p>
        </w:tc>
        <w:tc>
          <w:tcPr>
            <w:tcW w:type="dxa" w:w="1987"/>
          </w:tcPr>
          <w:p>
            <w:pPr>
              <w:spacing w:after="40"/>
            </w:pPr>
            <w:r/>
            <w:r>
              <w:rPr>
                <w:sz w:val="17"/>
              </w:rPr>
              <w:t>Apartment viewing appointment in the Harbor One development</w:t>
            </w:r>
          </w:p>
        </w:tc>
        <w:tc>
          <w:tcPr>
            <w:tcW w:type="dxa" w:w="1987"/>
          </w:tcPr>
          <w:p>
            <w:pPr>
              <w:spacing w:after="40"/>
            </w:pPr>
            <w:r/>
            <w:r>
              <w:rPr>
                <w:sz w:val="17"/>
              </w:rPr>
              <w:t>MKR-APT-VIEWING; version 2.0; https://marinakeysrealestate.com/ai</w:t>
            </w:r>
          </w:p>
        </w:tc>
        <w:tc>
          <w:tcPr>
            <w:tcW w:type="dxa" w:w="1987"/>
          </w:tcPr>
          <w:p>
            <w:pPr>
              <w:spacing w:after="40"/>
            </w:pPr>
            <w:r/>
            <w:r>
              <w:rPr>
                <w:sz w:val="17"/>
              </w:rPr>
              <w:t>in force</w:t>
            </w:r>
          </w:p>
        </w:tc>
        <w:tc>
          <w:tcPr>
            <w:tcW w:type="dxa" w:w="1987"/>
          </w:tcPr>
          <w:p>
            <w:pPr>
              <w:spacing w:after="40"/>
            </w:pPr>
            <w:r/>
            <w:r>
              <w:rPr>
                <w:sz w:val="17"/>
              </w:rPr>
              <w:t>01.09.2026</w:t>
            </w:r>
          </w:p>
        </w:tc>
      </w:tr>
    </w:tbl>
    <w:p>
      <w:pPr>
        <w:spacing w:after="40"/>
      </w:pPr>
    </w:p>
    <w:p>
      <w:pPr>
        <w:pStyle w:val="21"/>
        <w:keepNext/>
      </w:pPr>
      <w:r>
        <w:t>Annex 2. Contacts and the handling of requests</w:t>
      </w:r>
    </w:p>
    <w:p>
      <w:pPr>
        <w:spacing w:after="120"/>
      </w:pPr>
      <w:r>
        <w:rPr>
          <w:b w:val="0"/>
          <w:i w:val="0"/>
          <w:sz w:val="19"/>
        </w:rPr>
        <w:t>Working hours of employees: Monday to Friday, 09:00–18:00 Europe/Madrid. A request for an employee made in the chat is accepted by the operating system at any time of day; an employee answers during working hours.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656"/>
        <w:gridCol w:w="1656"/>
        <w:gridCol w:w="1656"/>
        <w:gridCol w:w="1656"/>
        <w:gridCol w:w="1656"/>
        <w:gridCol w:w="1656"/>
      </w:tblGrid>
      <w:tr>
        <w:trPr>
          <w:cantSplit/>
          <w:tblHeader/>
        </w:trPr>
        <w:tc>
          <w:tcPr>
            <w:tcW w:type="dxa" w:w="1656"/>
            <w:shd w:val="clear" w:fill="F2C200"/>
          </w:tcPr>
          <w:p>
            <w:pPr>
              <w:keepNext/>
              <w:spacing w:after="40"/>
            </w:pPr>
            <w:r/>
            <w:r>
              <w:rPr>
                <w:b/>
                <w:sz w:val="17"/>
              </w:rPr>
              <w:t>No.</w:t>
            </w:r>
          </w:p>
        </w:tc>
        <w:tc>
          <w:tcPr>
            <w:tcW w:type="dxa" w:w="1656"/>
            <w:shd w:val="clear" w:fill="F2C200"/>
          </w:tcPr>
          <w:p>
            <w:pPr>
              <w:keepNext/>
              <w:spacing w:after="40"/>
            </w:pPr>
            <w:r/>
            <w:r>
              <w:rPr>
                <w:b/>
                <w:sz w:val="17"/>
              </w:rPr>
              <w:t>Type of request</w:t>
            </w:r>
          </w:p>
        </w:tc>
        <w:tc>
          <w:tcPr>
            <w:tcW w:type="dxa" w:w="1656"/>
            <w:shd w:val="clear" w:fill="F2C200"/>
          </w:tcPr>
          <w:p>
            <w:pPr>
              <w:keepNext/>
              <w:spacing w:after="40"/>
            </w:pPr>
            <w:r/>
            <w:r>
              <w:rPr>
                <w:b/>
                <w:sz w:val="17"/>
              </w:rPr>
              <w:t>Channel and hours</w:t>
            </w:r>
          </w:p>
        </w:tc>
        <w:tc>
          <w:tcPr>
            <w:tcW w:type="dxa" w:w="1656"/>
            <w:shd w:val="clear" w:fill="F2C200"/>
          </w:tcPr>
          <w:p>
            <w:pPr>
              <w:keepNext/>
              <w:spacing w:after="40"/>
            </w:pPr>
            <w:r/>
            <w:r>
              <w:rPr>
                <w:b/>
                <w:sz w:val="17"/>
              </w:rPr>
              <w:t>Responsible</w:t>
            </w:r>
          </w:p>
        </w:tc>
        <w:tc>
          <w:tcPr>
            <w:tcW w:type="dxa" w:w="1656"/>
            <w:shd w:val="clear" w:fill="F2C200"/>
          </w:tcPr>
          <w:p>
            <w:pPr>
              <w:keepNext/>
              <w:spacing w:after="40"/>
            </w:pPr>
            <w:r/>
            <w:r>
              <w:rPr>
                <w:b/>
                <w:sz w:val="17"/>
              </w:rPr>
              <w:t>Time limit</w:t>
            </w:r>
          </w:p>
        </w:tc>
        <w:tc>
          <w:tcPr>
            <w:tcW w:type="dxa" w:w="1656"/>
            <w:shd w:val="clear" w:fill="F2C200"/>
          </w:tcPr>
          <w:p>
            <w:pPr>
              <w:keepNext/>
              <w:spacing w:after="40"/>
            </w:pPr>
            <w:r/>
            <w:r>
              <w:rPr>
                <w:b/>
                <w:sz w:val="17"/>
              </w:rPr>
              <w:t>Result</w:t>
            </w:r>
          </w:p>
        </w:tc>
      </w:tr>
      <w:tr>
        <w:trPr>
          <w:cantSplit/>
        </w:trPr>
        <w:tc>
          <w:tcPr>
            <w:tcW w:type="dxa" w:w="1656"/>
          </w:tcPr>
          <w:p>
            <w:pPr>
              <w:spacing w:after="40"/>
            </w:pPr>
            <w:r/>
            <w:r>
              <w:rPr>
                <w:sz w:val="17"/>
              </w:rPr>
              <w:t>2.9.1</w:t>
            </w:r>
          </w:p>
        </w:tc>
        <w:tc>
          <w:tcPr>
            <w:tcW w:type="dxa" w:w="1656"/>
          </w:tcPr>
          <w:p>
            <w:pPr>
              <w:spacing w:after="40"/>
            </w:pPr>
            <w:r/>
            <w:r>
              <w:rPr>
                <w:sz w:val="17"/>
              </w:rPr>
              <w:t>Questions about customer data, request for deletion</w:t>
            </w:r>
          </w:p>
        </w:tc>
        <w:tc>
          <w:tcPr>
            <w:tcW w:type="dxa" w:w="1656"/>
          </w:tcPr>
          <w:p>
            <w:pPr>
              <w:spacing w:after="40"/>
            </w:pPr>
            <w:r/>
            <w:r>
              <w:rPr>
                <w:sz w:val="17"/>
              </w:rPr>
              <w:t>privacy@marinakeysrealestate.com; working hours</w:t>
            </w:r>
          </w:p>
        </w:tc>
        <w:tc>
          <w:tcPr>
            <w:tcW w:type="dxa" w:w="1656"/>
          </w:tcPr>
          <w:p>
            <w:pPr>
              <w:spacing w:after="40"/>
            </w:pPr>
            <w:r/>
            <w:r>
              <w:rPr>
                <w:sz w:val="17"/>
              </w:rPr>
              <w:t>The officer responsible for customer data</w:t>
            </w:r>
          </w:p>
        </w:tc>
        <w:tc>
          <w:tcPr>
            <w:tcW w:type="dxa" w:w="1656"/>
          </w:tcPr>
          <w:p>
            <w:pPr>
              <w:spacing w:after="40"/>
            </w:pPr>
            <w:r/>
            <w:r>
              <w:rPr>
                <w:sz w:val="17"/>
              </w:rPr>
              <w:t>30 days (Annex 4)</w:t>
            </w:r>
          </w:p>
        </w:tc>
        <w:tc>
          <w:tcPr>
            <w:tcW w:type="dxa" w:w="1656"/>
          </w:tcPr>
          <w:p>
            <w:pPr>
              <w:spacing w:after="40"/>
            </w:pPr>
            <w:r/>
            <w:r>
              <w:rPr>
                <w:sz w:val="17"/>
              </w:rPr>
              <w:t>An answer, or the request carried out</w:t>
            </w:r>
          </w:p>
        </w:tc>
      </w:tr>
      <w:tr>
        <w:trPr>
          <w:cantSplit/>
        </w:trPr>
        <w:tc>
          <w:tcPr>
            <w:tcW w:type="dxa" w:w="1656"/>
          </w:tcPr>
          <w:p>
            <w:pPr>
              <w:spacing w:after="40"/>
            </w:pPr>
            <w:r/>
            <w:r>
              <w:rPr>
                <w:sz w:val="17"/>
              </w:rPr>
              <w:t>2.10.1</w:t>
            </w:r>
          </w:p>
        </w:tc>
        <w:tc>
          <w:tcPr>
            <w:tcW w:type="dxa" w:w="1656"/>
          </w:tcPr>
          <w:p>
            <w:pPr>
              <w:spacing w:after="40"/>
            </w:pPr>
            <w:r/>
            <w:r>
              <w:rPr>
                <w:sz w:val="17"/>
              </w:rPr>
              <w:t>Request for an employee</w:t>
            </w:r>
          </w:p>
        </w:tc>
        <w:tc>
          <w:tcPr>
            <w:tcW w:type="dxa" w:w="1656"/>
          </w:tcPr>
          <w:p>
            <w:pPr>
              <w:spacing w:after="40"/>
            </w:pPr>
            <w:r/>
            <w:r>
              <w:rPr>
                <w:sz w:val="17"/>
              </w:rPr>
              <w:t>In the chat with the AI assistant (at any time, through the handover operation); support@marinakeysrealestate.com; +34 960 000 100; working hours</w:t>
            </w:r>
          </w:p>
        </w:tc>
        <w:tc>
          <w:tcPr>
            <w:tcW w:type="dxa" w:w="1656"/>
          </w:tcPr>
          <w:p>
            <w:pPr>
              <w:spacing w:after="40"/>
            </w:pPr>
            <w:r/>
            <w:r>
              <w:rPr>
                <w:sz w:val="17"/>
              </w:rPr>
              <w:t>The assigned viewing broker or the support service</w:t>
            </w:r>
          </w:p>
        </w:tc>
        <w:tc>
          <w:tcPr>
            <w:tcW w:type="dxa" w:w="1656"/>
          </w:tcPr>
          <w:p>
            <w:pPr>
              <w:spacing w:after="40"/>
            </w:pPr>
            <w:r/>
            <w:r>
              <w:rPr>
                <w:sz w:val="17"/>
              </w:rPr>
              <w:t>Acceptance: automatically by the operating system (HANDOVER-ID). Answer of the employee: during working hours, no later than the next working day</w:t>
            </w:r>
          </w:p>
        </w:tc>
        <w:tc>
          <w:tcPr>
            <w:tcW w:type="dxa" w:w="1656"/>
          </w:tcPr>
          <w:p>
            <w:pPr>
              <w:spacing w:after="40"/>
            </w:pPr>
            <w:r/>
            <w:r>
              <w:rPr>
                <w:sz w:val="17"/>
              </w:rPr>
              <w:t>Confirmation of the handover with the HANDOVER-ID, or a refusal under the Passport</w:t>
            </w:r>
          </w:p>
        </w:tc>
      </w:tr>
      <w:tr>
        <w:trPr>
          <w:cantSplit/>
        </w:trPr>
        <w:tc>
          <w:tcPr>
            <w:tcW w:type="dxa" w:w="1656"/>
          </w:tcPr>
          <w:p>
            <w:pPr>
              <w:spacing w:after="40"/>
            </w:pPr>
            <w:r/>
            <w:r>
              <w:rPr>
                <w:sz w:val="17"/>
              </w:rPr>
              <w:t>2.10.2</w:t>
            </w:r>
          </w:p>
        </w:tc>
        <w:tc>
          <w:tcPr>
            <w:tcW w:type="dxa" w:w="1656"/>
          </w:tcPr>
          <w:p>
            <w:pPr>
              <w:spacing w:after="40"/>
            </w:pPr>
            <w:r/>
            <w:r>
              <w:rPr>
                <w:sz w:val="17"/>
              </w:rPr>
              <w:t>Review by an employee of the outcome of an interaction with AI</w:t>
            </w:r>
          </w:p>
        </w:tc>
        <w:tc>
          <w:tcPr>
            <w:tcW w:type="dxa" w:w="1656"/>
          </w:tcPr>
          <w:p>
            <w:pPr>
              <w:spacing w:after="40"/>
            </w:pPr>
            <w:r/>
            <w:r>
              <w:rPr>
                <w:sz w:val="17"/>
              </w:rPr>
              <w:t>support@marinakeysrealestate.com; working hours</w:t>
            </w:r>
          </w:p>
        </w:tc>
        <w:tc>
          <w:tcPr>
            <w:tcW w:type="dxa" w:w="1656"/>
          </w:tcPr>
          <w:p>
            <w:pPr>
              <w:spacing w:after="40"/>
            </w:pPr>
            <w:r/>
            <w:r>
              <w:rPr>
                <w:sz w:val="17"/>
              </w:rPr>
              <w:t>The support service; in a dispute, an employee who did not take part in the action</w:t>
            </w:r>
          </w:p>
        </w:tc>
        <w:tc>
          <w:tcPr>
            <w:tcW w:type="dxa" w:w="1656"/>
          </w:tcPr>
          <w:p>
            <w:pPr>
              <w:spacing w:after="40"/>
            </w:pPr>
            <w:r/>
            <w:r>
              <w:rPr>
                <w:sz w:val="17"/>
              </w:rPr>
              <w:t>2 working days</w:t>
            </w:r>
          </w:p>
        </w:tc>
        <w:tc>
          <w:tcPr>
            <w:tcW w:type="dxa" w:w="1656"/>
          </w:tcPr>
          <w:p>
            <w:pPr>
              <w:spacing w:after="40"/>
            </w:pPr>
            <w:r/>
            <w:r>
              <w:rPr>
                <w:sz w:val="17"/>
              </w:rPr>
              <w:t>The decision and its grounds</w:t>
            </w:r>
          </w:p>
        </w:tc>
      </w:tr>
      <w:tr>
        <w:trPr>
          <w:cantSplit/>
        </w:trPr>
        <w:tc>
          <w:tcPr>
            <w:tcW w:type="dxa" w:w="1656"/>
          </w:tcPr>
          <w:p>
            <w:pPr>
              <w:spacing w:after="40"/>
            </w:pPr>
            <w:r/>
            <w:r>
              <w:rPr>
                <w:sz w:val="17"/>
              </w:rPr>
              <w:t>2.12.1</w:t>
            </w:r>
          </w:p>
        </w:tc>
        <w:tc>
          <w:tcPr>
            <w:tcW w:type="dxa" w:w="1656"/>
          </w:tcPr>
          <w:p>
            <w:pPr>
              <w:spacing w:after="40"/>
            </w:pPr>
            <w:r/>
            <w:r>
              <w:rPr>
                <w:sz w:val="17"/>
              </w:rPr>
              <w:t>A further copy of the AI Receipt and the accessible part of the full technical record</w:t>
            </w:r>
          </w:p>
        </w:tc>
        <w:tc>
          <w:tcPr>
            <w:tcW w:type="dxa" w:w="1656"/>
          </w:tcPr>
          <w:p>
            <w:pPr>
              <w:spacing w:after="40"/>
            </w:pPr>
            <w:r/>
            <w:r>
              <w:rPr>
                <w:sz w:val="17"/>
              </w:rPr>
              <w:t>support@marinakeysrealestate.com, quoting the number of the AI Receipt or the date of the interaction</w:t>
            </w:r>
          </w:p>
        </w:tc>
        <w:tc>
          <w:tcPr>
            <w:tcW w:type="dxa" w:w="1656"/>
          </w:tcPr>
          <w:p>
            <w:pPr>
              <w:spacing w:after="40"/>
            </w:pPr>
            <w:r/>
            <w:r>
              <w:rPr>
                <w:sz w:val="17"/>
              </w:rPr>
              <w:t>The support service</w:t>
            </w:r>
          </w:p>
        </w:tc>
        <w:tc>
          <w:tcPr>
            <w:tcW w:type="dxa" w:w="1656"/>
          </w:tcPr>
          <w:p>
            <w:pPr>
              <w:spacing w:after="40"/>
            </w:pPr>
            <w:r/>
            <w:r>
              <w:rPr>
                <w:sz w:val="17"/>
              </w:rPr>
              <w:t>2 working days</w:t>
            </w:r>
          </w:p>
        </w:tc>
        <w:tc>
          <w:tcPr>
            <w:tcW w:type="dxa" w:w="1656"/>
          </w:tcPr>
          <w:p>
            <w:pPr>
              <w:spacing w:after="40"/>
            </w:pPr>
            <w:r/>
            <w:r>
              <w:rPr>
                <w:sz w:val="17"/>
              </w:rPr>
              <w:t>A copy of the AI Receipt or a reasoned answer</w:t>
            </w:r>
          </w:p>
        </w:tc>
      </w:tr>
      <w:tr>
        <w:trPr>
          <w:cantSplit/>
        </w:trPr>
        <w:tc>
          <w:tcPr>
            <w:tcW w:type="dxa" w:w="1656"/>
          </w:tcPr>
          <w:p>
            <w:pPr>
              <w:spacing w:after="40"/>
            </w:pPr>
            <w:r/>
            <w:r>
              <w:rPr>
                <w:sz w:val="17"/>
              </w:rPr>
              <w:t>3.14.1</w:t>
            </w:r>
          </w:p>
        </w:tc>
        <w:tc>
          <w:tcPr>
            <w:tcW w:type="dxa" w:w="1656"/>
          </w:tcPr>
          <w:p>
            <w:pPr>
              <w:spacing w:after="40"/>
            </w:pPr>
            <w:r/>
            <w:r>
              <w:rPr>
                <w:sz w:val="17"/>
              </w:rPr>
              <w:t>Questions about the use of AI</w:t>
            </w:r>
          </w:p>
        </w:tc>
        <w:tc>
          <w:tcPr>
            <w:tcW w:type="dxa" w:w="1656"/>
          </w:tcPr>
          <w:p>
            <w:pPr>
              <w:spacing w:after="40"/>
            </w:pPr>
            <w:r/>
            <w:r>
              <w:rPr>
                <w:sz w:val="17"/>
              </w:rPr>
              <w:t>ai@marinakeysrealestate.com; working hours</w:t>
            </w:r>
          </w:p>
        </w:tc>
        <w:tc>
          <w:tcPr>
            <w:tcW w:type="dxa" w:w="1656"/>
          </w:tcPr>
          <w:p>
            <w:pPr>
              <w:spacing w:after="40"/>
            </w:pPr>
            <w:r/>
            <w:r>
              <w:rPr>
                <w:sz w:val="17"/>
              </w:rPr>
              <w:t>The customer service director (the AI officer)</w:t>
            </w:r>
          </w:p>
        </w:tc>
        <w:tc>
          <w:tcPr>
            <w:tcW w:type="dxa" w:w="1656"/>
          </w:tcPr>
          <w:p>
            <w:pPr>
              <w:spacing w:after="40"/>
            </w:pPr>
            <w:r/>
            <w:r>
              <w:rPr>
                <w:sz w:val="17"/>
              </w:rPr>
              <w:t>5 working days</w:t>
            </w:r>
          </w:p>
        </w:tc>
        <w:tc>
          <w:tcPr>
            <w:tcW w:type="dxa" w:w="1656"/>
          </w:tcPr>
          <w:p>
            <w:pPr>
              <w:spacing w:after="40"/>
            </w:pPr>
            <w:r/>
            <w:r>
              <w:rPr>
                <w:sz w:val="17"/>
              </w:rPr>
              <w:t>An answer or a status</w:t>
            </w:r>
          </w:p>
        </w:tc>
      </w:tr>
      <w:tr>
        <w:trPr>
          <w:cantSplit/>
        </w:trPr>
        <w:tc>
          <w:tcPr>
            <w:tcW w:type="dxa" w:w="1656"/>
          </w:tcPr>
          <w:p>
            <w:pPr>
              <w:spacing w:after="40"/>
            </w:pPr>
            <w:r/>
            <w:r>
              <w:rPr>
                <w:sz w:val="17"/>
              </w:rPr>
              <w:t>3.15.1</w:t>
            </w:r>
          </w:p>
        </w:tc>
        <w:tc>
          <w:tcPr>
            <w:tcW w:type="dxa" w:w="1656"/>
          </w:tcPr>
          <w:p>
            <w:pPr>
              <w:spacing w:after="40"/>
            </w:pPr>
            <w:r/>
            <w:r>
              <w:rPr>
                <w:sz w:val="17"/>
              </w:rPr>
              <w:t>Contacting the owner of an AI service</w:t>
            </w:r>
          </w:p>
        </w:tc>
        <w:tc>
          <w:tcPr>
            <w:tcW w:type="dxa" w:w="1656"/>
          </w:tcPr>
          <w:p>
            <w:pPr>
              <w:spacing w:after="40"/>
            </w:pPr>
            <w:r/>
            <w:r>
              <w:rPr>
                <w:sz w:val="17"/>
              </w:rPr>
              <w:t>ai@marinakeysrealestate.com; working hours</w:t>
            </w:r>
          </w:p>
        </w:tc>
        <w:tc>
          <w:tcPr>
            <w:tcW w:type="dxa" w:w="1656"/>
          </w:tcPr>
          <w:p>
            <w:pPr>
              <w:spacing w:after="40"/>
            </w:pPr>
            <w:r/>
            <w:r>
              <w:rPr>
                <w:sz w:val="17"/>
              </w:rPr>
              <w:t>The position of the owner named in the Passport</w:t>
            </w:r>
          </w:p>
        </w:tc>
        <w:tc>
          <w:tcPr>
            <w:tcW w:type="dxa" w:w="1656"/>
          </w:tcPr>
          <w:p>
            <w:pPr>
              <w:spacing w:after="40"/>
            </w:pPr>
            <w:r/>
            <w:r>
              <w:rPr>
                <w:sz w:val="17"/>
              </w:rPr>
              <w:t>5 working days</w:t>
            </w:r>
          </w:p>
        </w:tc>
        <w:tc>
          <w:tcPr>
            <w:tcW w:type="dxa" w:w="1656"/>
          </w:tcPr>
          <w:p>
            <w:pPr>
              <w:spacing w:after="40"/>
            </w:pPr>
            <w:r/>
            <w:r>
              <w:rPr>
                <w:sz w:val="17"/>
              </w:rPr>
              <w:t>An answer or a status</w:t>
            </w:r>
          </w:p>
        </w:tc>
      </w:tr>
      <w:tr>
        <w:trPr>
          <w:cantSplit/>
        </w:trPr>
        <w:tc>
          <w:tcPr>
            <w:tcW w:type="dxa" w:w="1656"/>
          </w:tcPr>
          <w:p>
            <w:pPr>
              <w:spacing w:after="40"/>
            </w:pPr>
            <w:r/>
            <w:r>
              <w:rPr>
                <w:sz w:val="17"/>
              </w:rPr>
              <w:t>4.17.1</w:t>
            </w:r>
          </w:p>
        </w:tc>
        <w:tc>
          <w:tcPr>
            <w:tcW w:type="dxa" w:w="1656"/>
          </w:tcPr>
          <w:p>
            <w:pPr>
              <w:spacing w:after="40"/>
            </w:pPr>
            <w:r/>
            <w:r>
              <w:rPr>
                <w:sz w:val="17"/>
              </w:rPr>
              <w:t>Report of a possible error of AI</w:t>
            </w:r>
          </w:p>
        </w:tc>
        <w:tc>
          <w:tcPr>
            <w:tcW w:type="dxa" w:w="1656"/>
          </w:tcPr>
          <w:p>
            <w:pPr>
              <w:spacing w:after="40"/>
            </w:pPr>
            <w:r/>
            <w:r>
              <w:rPr>
                <w:sz w:val="17"/>
              </w:rPr>
              <w:t>ai@marinakeysrealestate.com; support@marinakeysrealestate.com; working hours</w:t>
            </w:r>
          </w:p>
        </w:tc>
        <w:tc>
          <w:tcPr>
            <w:tcW w:type="dxa" w:w="1656"/>
          </w:tcPr>
          <w:p>
            <w:pPr>
              <w:spacing w:after="40"/>
            </w:pPr>
            <w:r/>
            <w:r>
              <w:rPr>
                <w:sz w:val="17"/>
              </w:rPr>
              <w:t>The customer service director</w:t>
            </w:r>
          </w:p>
        </w:tc>
        <w:tc>
          <w:tcPr>
            <w:tcW w:type="dxa" w:w="1656"/>
          </w:tcPr>
          <w:p>
            <w:pPr>
              <w:spacing w:after="40"/>
            </w:pPr>
            <w:r/>
            <w:r>
              <w:rPr>
                <w:sz w:val="17"/>
              </w:rPr>
              <w:t>Registration: automatic on receipt. Check by an employee: 5 working days, during working hours</w:t>
            </w:r>
          </w:p>
        </w:tc>
        <w:tc>
          <w:tcPr>
            <w:tcW w:type="dxa" w:w="1656"/>
          </w:tcPr>
          <w:p>
            <w:pPr>
              <w:spacing w:after="40"/>
            </w:pPr>
            <w:r/>
            <w:r>
              <w:rPr>
                <w:sz w:val="17"/>
              </w:rPr>
              <w:t>The number and the status of the check; the result</w:t>
            </w:r>
          </w:p>
        </w:tc>
      </w:tr>
      <w:tr>
        <w:trPr>
          <w:cantSplit/>
        </w:trPr>
        <w:tc>
          <w:tcPr>
            <w:tcW w:type="dxa" w:w="1656"/>
          </w:tcPr>
          <w:p>
            <w:pPr>
              <w:spacing w:after="40"/>
            </w:pPr>
            <w:r/>
            <w:r>
              <w:rPr>
                <w:sz w:val="17"/>
              </w:rPr>
              <w:t>4.18.1</w:t>
            </w:r>
          </w:p>
        </w:tc>
        <w:tc>
          <w:tcPr>
            <w:tcW w:type="dxa" w:w="1656"/>
          </w:tcPr>
          <w:p>
            <w:pPr>
              <w:spacing w:after="40"/>
            </w:pPr>
            <w:r/>
            <w:r>
              <w:rPr>
                <w:sz w:val="17"/>
              </w:rPr>
              <w:t>Complaint</w:t>
            </w:r>
          </w:p>
        </w:tc>
        <w:tc>
          <w:tcPr>
            <w:tcW w:type="dxa" w:w="1656"/>
          </w:tcPr>
          <w:p>
            <w:pPr>
              <w:spacing w:after="40"/>
            </w:pPr>
            <w:r/>
            <w:r>
              <w:rPr>
                <w:sz w:val="17"/>
              </w:rPr>
              <w:t>complaints@marinakeysrealestate.com; working hours</w:t>
            </w:r>
          </w:p>
        </w:tc>
        <w:tc>
          <w:tcPr>
            <w:tcW w:type="dxa" w:w="1656"/>
          </w:tcPr>
          <w:p>
            <w:pPr>
              <w:spacing w:after="40"/>
            </w:pPr>
            <w:r/>
            <w:r>
              <w:rPr>
                <w:sz w:val="17"/>
              </w:rPr>
              <w:t>The support service; handled by an employee who did not take part in the action complained of</w:t>
            </w:r>
          </w:p>
        </w:tc>
        <w:tc>
          <w:tcPr>
            <w:tcW w:type="dxa" w:w="1656"/>
          </w:tcPr>
          <w:p>
            <w:pPr>
              <w:spacing w:after="40"/>
            </w:pPr>
            <w:r/>
            <w:r>
              <w:rPr>
                <w:sz w:val="17"/>
              </w:rPr>
              <w:t>Registration: automatic on receipt. Answer of the employee: 2 working days, during working hours</w:t>
            </w:r>
          </w:p>
        </w:tc>
        <w:tc>
          <w:tcPr>
            <w:tcW w:type="dxa" w:w="1656"/>
          </w:tcPr>
          <w:p>
            <w:pPr>
              <w:spacing w:after="40"/>
            </w:pPr>
            <w:r/>
            <w:r>
              <w:rPr>
                <w:sz w:val="17"/>
              </w:rPr>
              <w:t>The decision and its grounds</w:t>
            </w:r>
          </w:p>
        </w:tc>
      </w:tr>
    </w:tbl>
    <w:p>
      <w:pPr>
        <w:spacing w:after="40"/>
      </w:pPr>
    </w:p>
    <w:p>
      <w:pPr>
        <w:pStyle w:val="21"/>
        <w:keepNext/>
      </w:pPr>
      <w:r>
        <w:t>Annex 3. External AI providers and technical operators</w:t>
      </w:r>
    </w:p>
    <w:p>
      <w:pPr>
        <w:spacing w:after="120"/>
      </w:pPr>
      <w:r>
        <w:rPr>
          <w:b w:val="0"/>
          <w:i w:val="0"/>
          <w:sz w:val="19"/>
        </w:rPr>
        <w:t>An external measurement system, where it receives information about interactions, is also an external provider or technical operator for the purposes of this annex.</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656"/>
        <w:gridCol w:w="1656"/>
        <w:gridCol w:w="1656"/>
        <w:gridCol w:w="1656"/>
        <w:gridCol w:w="1656"/>
        <w:gridCol w:w="1656"/>
      </w:tblGrid>
      <w:tr>
        <w:trPr>
          <w:cantSplit/>
          <w:tblHeader/>
        </w:trPr>
        <w:tc>
          <w:tcPr>
            <w:tcW w:type="dxa" w:w="1656"/>
            <w:shd w:val="clear" w:fill="F2C200"/>
          </w:tcPr>
          <w:p>
            <w:pPr>
              <w:keepNext/>
              <w:spacing w:after="40"/>
            </w:pPr>
            <w:r/>
            <w:r>
              <w:rPr>
                <w:b/>
                <w:sz w:val="17"/>
              </w:rPr>
              <w:t>No.</w:t>
            </w:r>
          </w:p>
        </w:tc>
        <w:tc>
          <w:tcPr>
            <w:tcW w:type="dxa" w:w="1656"/>
            <w:shd w:val="clear" w:fill="F2C200"/>
          </w:tcPr>
          <w:p>
            <w:pPr>
              <w:keepNext/>
              <w:spacing w:after="40"/>
            </w:pPr>
            <w:r/>
            <w:r>
              <w:rPr>
                <w:b/>
                <w:sz w:val="17"/>
              </w:rPr>
              <w:t>Provider or operator</w:t>
            </w:r>
          </w:p>
        </w:tc>
        <w:tc>
          <w:tcPr>
            <w:tcW w:type="dxa" w:w="1656"/>
            <w:shd w:val="clear" w:fill="F2C200"/>
          </w:tcPr>
          <w:p>
            <w:pPr>
              <w:keepNext/>
              <w:spacing w:after="40"/>
            </w:pPr>
            <w:r/>
            <w:r>
              <w:rPr>
                <w:b/>
                <w:sz w:val="17"/>
              </w:rPr>
              <w:t>Function</w:t>
            </w:r>
          </w:p>
        </w:tc>
        <w:tc>
          <w:tcPr>
            <w:tcW w:type="dxa" w:w="1656"/>
            <w:shd w:val="clear" w:fill="F2C200"/>
          </w:tcPr>
          <w:p>
            <w:pPr>
              <w:keepNext/>
              <w:spacing w:after="40"/>
            </w:pPr>
            <w:r/>
            <w:r>
              <w:rPr>
                <w:b/>
                <w:sz w:val="17"/>
              </w:rPr>
              <w:t>AI services concerned</w:t>
            </w:r>
          </w:p>
        </w:tc>
        <w:tc>
          <w:tcPr>
            <w:tcW w:type="dxa" w:w="1656"/>
            <w:shd w:val="clear" w:fill="F2C200"/>
          </w:tcPr>
          <w:p>
            <w:pPr>
              <w:keepNext/>
              <w:spacing w:after="40"/>
            </w:pPr>
            <w:r/>
            <w:r>
              <w:rPr>
                <w:b/>
                <w:sz w:val="17"/>
              </w:rPr>
              <w:t>Information transferred</w:t>
            </w:r>
          </w:p>
        </w:tc>
        <w:tc>
          <w:tcPr>
            <w:tcW w:type="dxa" w:w="1656"/>
            <w:shd w:val="clear" w:fill="F2C200"/>
          </w:tcPr>
          <w:p>
            <w:pPr>
              <w:keepNext/>
              <w:spacing w:after="40"/>
            </w:pPr>
            <w:r/>
            <w:r>
              <w:rPr>
                <w:b/>
                <w:sz w:val="17"/>
              </w:rPr>
              <w:t>What the provider is responsible for</w:t>
            </w:r>
          </w:p>
        </w:tc>
      </w:tr>
      <w:tr>
        <w:trPr>
          <w:cantSplit/>
        </w:trPr>
        <w:tc>
          <w:tcPr>
            <w:tcW w:type="dxa" w:w="1656"/>
          </w:tcPr>
          <w:p>
            <w:pPr>
              <w:spacing w:after="40"/>
            </w:pPr>
            <w:r/>
            <w:r>
              <w:rPr>
                <w:sz w:val="17"/>
              </w:rPr>
              <w:t>3.16.1</w:t>
            </w:r>
          </w:p>
        </w:tc>
        <w:tc>
          <w:tcPr>
            <w:tcW w:type="dxa" w:w="1656"/>
          </w:tcPr>
          <w:p>
            <w:pPr>
              <w:spacing w:after="40"/>
            </w:pPr>
            <w:r/>
            <w:r>
              <w:rPr>
                <w:sz w:val="17"/>
              </w:rPr>
              <w:t>Provider of the AI model (under contract with the organisation)</w:t>
            </w:r>
          </w:p>
        </w:tc>
        <w:tc>
          <w:tcPr>
            <w:tcW w:type="dxa" w:w="1656"/>
          </w:tcPr>
          <w:p>
            <w:pPr>
              <w:spacing w:after="40"/>
            </w:pPr>
            <w:r/>
            <w:r>
              <w:rPr>
                <w:sz w:val="17"/>
              </w:rPr>
              <w:t>The AI model that produces the answers of the AI assistant</w:t>
            </w:r>
          </w:p>
        </w:tc>
        <w:tc>
          <w:tcPr>
            <w:tcW w:type="dxa" w:w="1656"/>
          </w:tcPr>
          <w:p>
            <w:pPr>
              <w:spacing w:after="40"/>
            </w:pPr>
            <w:r/>
            <w:r>
              <w:rPr>
                <w:sz w:val="17"/>
              </w:rPr>
              <w:t>Apartment viewing appointment</w:t>
            </w:r>
          </w:p>
        </w:tc>
        <w:tc>
          <w:tcPr>
            <w:tcW w:type="dxa" w:w="1656"/>
          </w:tcPr>
          <w:p>
            <w:pPr>
              <w:spacing w:after="40"/>
            </w:pPr>
            <w:r/>
            <w:r>
              <w:rPr>
                <w:sz w:val="17"/>
              </w:rPr>
              <w:t>The content of the messages of the interaction, the system prompt and the operating environment data transferred in order to produce the answer; they are not used for training</w:t>
            </w:r>
          </w:p>
        </w:tc>
        <w:tc>
          <w:tcPr>
            <w:tcW w:type="dxa" w:w="1656"/>
          </w:tcPr>
          <w:p>
            <w:pPr>
              <w:spacing w:after="40"/>
            </w:pPr>
            <w:r/>
            <w:r>
              <w:rPr>
                <w:sz w:val="17"/>
              </w:rPr>
              <w:t>Properties of the model that cannot be removed by configuration: the ability to produce inaccurate information, the general limitations of its training, a change of behaviour when the version changes. Contractual obligations</w:t>
            </w:r>
          </w:p>
        </w:tc>
      </w:tr>
      <w:tr>
        <w:trPr>
          <w:cantSplit/>
        </w:trPr>
        <w:tc>
          <w:tcPr>
            <w:tcW w:type="dxa" w:w="1656"/>
          </w:tcPr>
          <w:p>
            <w:pPr>
              <w:spacing w:after="40"/>
            </w:pPr>
            <w:r/>
            <w:r>
              <w:rPr>
                <w:sz w:val="17"/>
              </w:rPr>
              <w:t>3.16.2</w:t>
            </w:r>
          </w:p>
        </w:tc>
        <w:tc>
          <w:tcPr>
            <w:tcW w:type="dxa" w:w="1656"/>
          </w:tcPr>
          <w:p>
            <w:pPr>
              <w:spacing w:after="40"/>
            </w:pPr>
            <w:r/>
            <w:r>
              <w:rPr>
                <w:sz w:val="17"/>
              </w:rPr>
              <w:t>Operator of the interaction platform</w:t>
            </w:r>
          </w:p>
        </w:tc>
        <w:tc>
          <w:tcPr>
            <w:tcW w:type="dxa" w:w="1656"/>
          </w:tcPr>
          <w:p>
            <w:pPr>
              <w:spacing w:after="40"/>
            </w:pPr>
            <w:r/>
            <w:r>
              <w:rPr>
                <w:sz w:val="17"/>
              </w:rPr>
              <w:t>The chat, the execution of the create_viewing and create_handover operations, logging, the assignment of the AI Receipt details and the storage of records</w:t>
            </w:r>
          </w:p>
        </w:tc>
        <w:tc>
          <w:tcPr>
            <w:tcW w:type="dxa" w:w="1656"/>
          </w:tcPr>
          <w:p>
            <w:pPr>
              <w:spacing w:after="40"/>
            </w:pPr>
            <w:r/>
            <w:r>
              <w:rPr>
                <w:sz w:val="17"/>
              </w:rPr>
              <w:t>Apartment viewing appointment</w:t>
            </w:r>
          </w:p>
        </w:tc>
        <w:tc>
          <w:tcPr>
            <w:tcW w:type="dxa" w:w="1656"/>
          </w:tcPr>
          <w:p>
            <w:pPr>
              <w:spacing w:after="40"/>
            </w:pPr>
            <w:r/>
            <w:r>
              <w:rPr>
                <w:sz w:val="17"/>
              </w:rPr>
              <w:t>All messages, events and states of the interaction</w:t>
            </w:r>
          </w:p>
        </w:tc>
        <w:tc>
          <w:tcPr>
            <w:tcW w:type="dxa" w:w="1656"/>
          </w:tcPr>
          <w:p>
            <w:pPr>
              <w:spacing w:after="40"/>
            </w:pPr>
            <w:r/>
            <w:r>
              <w:rPr>
                <w:sz w:val="17"/>
              </w:rPr>
              <w:t>The completeness and the immutability of the full technical record, the assignment of the receipt details, the verification of the issued receipt against the record, and the retention of both copies</w:t>
            </w:r>
          </w:p>
        </w:tc>
      </w:tr>
      <w:tr>
        <w:trPr>
          <w:cantSplit/>
        </w:trPr>
        <w:tc>
          <w:tcPr>
            <w:tcW w:type="dxa" w:w="1656"/>
          </w:tcPr>
          <w:p>
            <w:pPr>
              <w:spacing w:after="40"/>
            </w:pPr>
            <w:r/>
            <w:r>
              <w:rPr>
                <w:sz w:val="17"/>
              </w:rPr>
              <w:t>3.16.3</w:t>
            </w:r>
          </w:p>
        </w:tc>
        <w:tc>
          <w:tcPr>
            <w:tcW w:type="dxa" w:w="1656"/>
          </w:tcPr>
          <w:p>
            <w:pPr>
              <w:spacing w:after="40"/>
            </w:pPr>
            <w:r/>
            <w:r>
              <w:rPr>
                <w:sz w:val="17"/>
              </w:rPr>
              <w:t>External measurement system (where used)</w:t>
            </w:r>
          </w:p>
        </w:tc>
        <w:tc>
          <w:tcPr>
            <w:tcW w:type="dxa" w:w="1656"/>
          </w:tcPr>
          <w:p>
            <w:pPr>
              <w:spacing w:after="40"/>
            </w:pPr>
            <w:r/>
            <w:r>
              <w:rPr>
                <w:sz w:val="17"/>
              </w:rPr>
              <w:t>Measurement of the characteristics of the AI model within the mode supported</w:t>
            </w:r>
          </w:p>
        </w:tc>
        <w:tc>
          <w:tcPr>
            <w:tcW w:type="dxa" w:w="1656"/>
          </w:tcPr>
          <w:p>
            <w:pPr>
              <w:spacing w:after="40"/>
            </w:pPr>
            <w:r/>
            <w:r>
              <w:rPr>
                <w:sz w:val="17"/>
              </w:rPr>
              <w:t>Apartment viewing appointment</w:t>
            </w:r>
          </w:p>
        </w:tc>
        <w:tc>
          <w:tcPr>
            <w:tcW w:type="dxa" w:w="1656"/>
          </w:tcPr>
          <w:p>
            <w:pPr>
              <w:spacing w:after="40"/>
            </w:pPr>
            <w:r/>
            <w:r>
              <w:rPr>
                <w:sz w:val="17"/>
              </w:rPr>
              <w:t>Technical identifiers of the query and of the trace, and measurement indicators; the content of the messages is not stored by the measurement system</w:t>
            </w:r>
          </w:p>
        </w:tc>
        <w:tc>
          <w:tcPr>
            <w:tcW w:type="dxa" w:w="1656"/>
          </w:tcPr>
          <w:p>
            <w:pPr>
              <w:spacing w:after="40"/>
            </w:pPr>
            <w:r/>
            <w:r>
              <w:rPr>
                <w:sz w:val="17"/>
              </w:rPr>
              <w:t>The origin, the time and the immutability of the measurement record; the link between the record and the identifiers of the interaction. It is not responsible for the truth of the outcome of the service, for assessing whether an answer met an obligation, or for the behaviour of the model</w:t>
            </w:r>
          </w:p>
        </w:tc>
      </w:tr>
    </w:tbl>
    <w:p>
      <w:pPr>
        <w:spacing w:after="40"/>
      </w:pPr>
    </w:p>
    <w:p>
      <w:pPr>
        <w:pStyle w:val="21"/>
        <w:keepNext/>
      </w:pPr>
      <w:r>
        <w:t>Annex 4. Information on the processing of customer data</w:t>
      </w:r>
    </w:p>
    <w:p>
      <w:pPr>
        <w:spacing w:after="120"/>
      </w:pPr>
      <w:r>
        <w:rPr>
          <w:b w:val="0"/>
          <w:i w:val="0"/>
          <w:sz w:val="19"/>
        </w:rPr>
        <w:t>This annex is addressed to the customer and at the same time is the only source from which the AI assistant answers questions about customer data (AI Service Passport MKR-APT-VIEWING, table 2.12). Information that is not in the card is not given by the assistant: the question is passed to the privacy@ channel.</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968"/>
        <w:gridCol w:w="4968"/>
      </w:tblGrid>
      <w:tr>
        <w:trPr>
          <w:cantSplit/>
          <w:tblHeader/>
        </w:trPr>
        <w:tc>
          <w:tcPr>
            <w:tcW w:type="dxa" w:w="4968"/>
            <w:shd w:val="clear" w:fill="F2C200"/>
          </w:tcPr>
          <w:p>
            <w:pPr>
              <w:keepNext/>
              <w:spacing w:after="40"/>
            </w:pPr>
            <w:r/>
            <w:r>
              <w:rPr>
                <w:b/>
                <w:sz w:val="17"/>
              </w:rPr>
              <w:t>Field</w:t>
            </w:r>
          </w:p>
        </w:tc>
        <w:tc>
          <w:tcPr>
            <w:tcW w:type="dxa" w:w="4968"/>
            <w:shd w:val="clear" w:fill="F2C200"/>
          </w:tcPr>
          <w:p>
            <w:pPr>
              <w:keepNext/>
              <w:spacing w:after="40"/>
            </w:pPr>
            <w:r/>
            <w:r>
              <w:rPr>
                <w:b/>
                <w:sz w:val="17"/>
              </w:rPr>
              <w:t>Value</w:t>
            </w:r>
          </w:p>
        </w:tc>
      </w:tr>
      <w:tr>
        <w:trPr>
          <w:cantSplit/>
        </w:trPr>
        <w:tc>
          <w:tcPr>
            <w:tcW w:type="dxa" w:w="4968"/>
          </w:tcPr>
          <w:p>
            <w:pPr>
              <w:spacing w:after="40"/>
            </w:pPr>
            <w:r/>
            <w:r>
              <w:rPr>
                <w:sz w:val="17"/>
              </w:rPr>
              <w:t>required_fields (to book a viewing)</w:t>
            </w:r>
          </w:p>
        </w:tc>
        <w:tc>
          <w:tcPr>
            <w:tcW w:type="dxa" w:w="4968"/>
          </w:tcPr>
          <w:p>
            <w:pPr>
              <w:spacing w:after="40"/>
            </w:pPr>
            <w:r/>
            <w:r>
              <w:rPr>
                <w:sz w:val="17"/>
              </w:rPr>
              <w:t>name; email address; telephone number</w:t>
            </w:r>
          </w:p>
        </w:tc>
      </w:tr>
      <w:tr>
        <w:trPr>
          <w:cantSplit/>
        </w:trPr>
        <w:tc>
          <w:tcPr>
            <w:tcW w:type="dxa" w:w="4968"/>
          </w:tcPr>
          <w:p>
            <w:pPr>
              <w:spacing w:after="40"/>
            </w:pPr>
            <w:r/>
            <w:r>
              <w:rPr>
                <w:sz w:val="17"/>
              </w:rPr>
              <w:t>required_fields (to search for apartments)</w:t>
            </w:r>
          </w:p>
        </w:tc>
        <w:tc>
          <w:tcPr>
            <w:tcW w:type="dxa" w:w="4968"/>
          </w:tcPr>
          <w:p>
            <w:pPr>
              <w:spacing w:after="40"/>
            </w:pPr>
            <w:r/>
            <w:r>
              <w:rPr>
                <w:sz w:val="17"/>
              </w:rPr>
              <w:t>none</w:t>
            </w:r>
          </w:p>
        </w:tc>
      </w:tr>
      <w:tr>
        <w:trPr>
          <w:cantSplit/>
        </w:trPr>
        <w:tc>
          <w:tcPr>
            <w:tcW w:type="dxa" w:w="4968"/>
          </w:tcPr>
          <w:p>
            <w:pPr>
              <w:spacing w:after="40"/>
            </w:pPr>
            <w:r/>
            <w:r>
              <w:rPr>
                <w:sz w:val="17"/>
              </w:rPr>
              <w:t>purposes</w:t>
            </w:r>
          </w:p>
        </w:tc>
        <w:tc>
          <w:tcPr>
            <w:tcW w:type="dxa" w:w="4968"/>
          </w:tcPr>
          <w:p>
            <w:pPr>
              <w:spacing w:after="40"/>
            </w:pPr>
            <w:r/>
            <w:r>
              <w:rPr>
                <w:sz w:val="17"/>
              </w:rPr>
              <w:t>name: to create the booking and for the broker to meet the customer; email: confirmation of the booking and the copy of the AI Receipt; phone: contact by the broker about the viewing</w:t>
            </w:r>
          </w:p>
        </w:tc>
      </w:tr>
      <w:tr>
        <w:trPr>
          <w:cantSplit/>
        </w:trPr>
        <w:tc>
          <w:tcPr>
            <w:tcW w:type="dxa" w:w="4968"/>
          </w:tcPr>
          <w:p>
            <w:pPr>
              <w:spacing w:after="40"/>
            </w:pPr>
            <w:r/>
            <w:r>
              <w:rPr>
                <w:sz w:val="17"/>
              </w:rPr>
              <w:t>internal_recipients</w:t>
            </w:r>
          </w:p>
        </w:tc>
        <w:tc>
          <w:tcPr>
            <w:tcW w:type="dxa" w:w="4968"/>
          </w:tcPr>
          <w:p>
            <w:pPr>
              <w:spacing w:after="40"/>
            </w:pPr>
            <w:r/>
            <w:r>
              <w:rPr>
                <w:sz w:val="17"/>
              </w:rPr>
              <w:t>the assigned viewing broker; the support service (where a question is handed over); the officer responsible for customer data; the persons handling complaints, reports of errors and incidents</w:t>
            </w:r>
          </w:p>
        </w:tc>
      </w:tr>
      <w:tr>
        <w:trPr>
          <w:cantSplit/>
        </w:trPr>
        <w:tc>
          <w:tcPr>
            <w:tcW w:type="dxa" w:w="4968"/>
          </w:tcPr>
          <w:p>
            <w:pPr>
              <w:spacing w:after="40"/>
            </w:pPr>
            <w:r/>
            <w:r>
              <w:rPr>
                <w:sz w:val="17"/>
              </w:rPr>
              <w:t>external_recipients</w:t>
            </w:r>
          </w:p>
        </w:tc>
        <w:tc>
          <w:tcPr>
            <w:tcW w:type="dxa" w:w="4968"/>
          </w:tcPr>
          <w:p>
            <w:pPr>
              <w:spacing w:after="40"/>
            </w:pPr>
            <w:r/>
            <w:r>
              <w:rPr>
                <w:sz w:val="17"/>
              </w:rPr>
              <w:t>the provider of the AI model (the content of the exchange, solely in order to produce the answer); the operator of the interaction platform (the record and the AI Receipt); the external measurement system (where used: identifiers and indicators only; the categories actually transferred are stated in the AI Receipt)</w:t>
            </w:r>
          </w:p>
        </w:tc>
      </w:tr>
      <w:tr>
        <w:trPr>
          <w:cantSplit/>
        </w:trPr>
        <w:tc>
          <w:tcPr>
            <w:tcW w:type="dxa" w:w="4968"/>
          </w:tcPr>
          <w:p>
            <w:pPr>
              <w:spacing w:after="40"/>
            </w:pPr>
            <w:r/>
            <w:r>
              <w:rPr>
                <w:sz w:val="17"/>
              </w:rPr>
              <w:t>training_use</w:t>
            </w:r>
          </w:p>
        </w:tc>
        <w:tc>
          <w:tcPr>
            <w:tcW w:type="dxa" w:w="4968"/>
          </w:tcPr>
          <w:p>
            <w:pPr>
              <w:spacing w:after="40"/>
            </w:pPr>
            <w:r/>
            <w:r>
              <w:rPr>
                <w:sz w:val="17"/>
              </w:rPr>
              <w:t>not permitted</w:t>
            </w:r>
          </w:p>
        </w:tc>
      </w:tr>
      <w:tr>
        <w:trPr>
          <w:cantSplit/>
        </w:trPr>
        <w:tc>
          <w:tcPr>
            <w:tcW w:type="dxa" w:w="4968"/>
          </w:tcPr>
          <w:p>
            <w:pPr>
              <w:spacing w:after="40"/>
            </w:pPr>
            <w:r/>
            <w:r>
              <w:rPr>
                <w:sz w:val="17"/>
              </w:rPr>
              <w:t>sale_or_advertising</w:t>
            </w:r>
          </w:p>
        </w:tc>
        <w:tc>
          <w:tcPr>
            <w:tcW w:type="dxa" w:w="4968"/>
          </w:tcPr>
          <w:p>
            <w:pPr>
              <w:spacing w:after="40"/>
            </w:pPr>
            <w:r/>
            <w:r>
              <w:rPr>
                <w:sz w:val="17"/>
              </w:rPr>
              <w:t>not permitted</w:t>
            </w:r>
          </w:p>
        </w:tc>
      </w:tr>
      <w:tr>
        <w:trPr>
          <w:cantSplit/>
        </w:trPr>
        <w:tc>
          <w:tcPr>
            <w:tcW w:type="dxa" w:w="4968"/>
          </w:tcPr>
          <w:p>
            <w:pPr>
              <w:spacing w:after="40"/>
            </w:pPr>
            <w:r/>
            <w:r>
              <w:rPr>
                <w:sz w:val="17"/>
              </w:rPr>
              <w:t>retention_months</w:t>
            </w:r>
          </w:p>
        </w:tc>
        <w:tc>
          <w:tcPr>
            <w:tcW w:type="dxa" w:w="4968"/>
          </w:tcPr>
          <w:p>
            <w:pPr>
              <w:spacing w:after="40"/>
            </w:pPr>
            <w:r/>
            <w:r>
              <w:rPr>
                <w:sz w:val="17"/>
              </w:rPr>
              <w:t>12</w:t>
            </w:r>
          </w:p>
        </w:tc>
      </w:tr>
      <w:tr>
        <w:trPr>
          <w:cantSplit/>
        </w:trPr>
        <w:tc>
          <w:tcPr>
            <w:tcW w:type="dxa" w:w="4968"/>
          </w:tcPr>
          <w:p>
            <w:pPr>
              <w:spacing w:after="40"/>
            </w:pPr>
            <w:r/>
            <w:r>
              <w:rPr>
                <w:sz w:val="17"/>
              </w:rPr>
              <w:t>retention_exception</w:t>
            </w:r>
          </w:p>
        </w:tc>
        <w:tc>
          <w:tcPr>
            <w:tcW w:type="dxa" w:w="4968"/>
          </w:tcPr>
          <w:p>
            <w:pPr>
              <w:spacing w:after="40"/>
            </w:pPr>
            <w:r/>
            <w:r>
              <w:rPr>
                <w:sz w:val="17"/>
              </w:rPr>
              <w:t>complaint, dispute, verification, investigation: until it is concluded</w:t>
            </w:r>
          </w:p>
        </w:tc>
      </w:tr>
      <w:tr>
        <w:trPr>
          <w:cantSplit/>
        </w:trPr>
        <w:tc>
          <w:tcPr>
            <w:tcW w:type="dxa" w:w="4968"/>
          </w:tcPr>
          <w:p>
            <w:pPr>
              <w:spacing w:after="40"/>
            </w:pPr>
            <w:r/>
            <w:r>
              <w:rPr>
                <w:sz w:val="17"/>
              </w:rPr>
              <w:t>deletion_channel</w:t>
            </w:r>
          </w:p>
        </w:tc>
        <w:tc>
          <w:tcPr>
            <w:tcW w:type="dxa" w:w="4968"/>
          </w:tcPr>
          <w:p>
            <w:pPr>
              <w:spacing w:after="40"/>
            </w:pPr>
            <w:r/>
            <w:r>
              <w:rPr>
                <w:sz w:val="17"/>
              </w:rPr>
              <w:t>privacy@marinakeysrealestate.com</w:t>
            </w:r>
          </w:p>
        </w:tc>
      </w:tr>
      <w:tr>
        <w:trPr>
          <w:cantSplit/>
        </w:trPr>
        <w:tc>
          <w:tcPr>
            <w:tcW w:type="dxa" w:w="4968"/>
          </w:tcPr>
          <w:p>
            <w:pPr>
              <w:spacing w:after="40"/>
            </w:pPr>
            <w:r/>
            <w:r>
              <w:rPr>
                <w:sz w:val="17"/>
              </w:rPr>
              <w:t>rights</w:t>
            </w:r>
          </w:p>
        </w:tc>
        <w:tc>
          <w:tcPr>
            <w:tcW w:type="dxa" w:w="4968"/>
          </w:tcPr>
          <w:p>
            <w:pPr>
              <w:spacing w:after="40"/>
            </w:pPr>
            <w:r/>
            <w:r>
              <w:rPr>
                <w:sz w:val="17"/>
              </w:rPr>
              <w:t>access, rectification, erasure, restriction of processing</w:t>
            </w:r>
          </w:p>
        </w:tc>
      </w:tr>
      <w:tr>
        <w:trPr>
          <w:cantSplit/>
        </w:trPr>
        <w:tc>
          <w:tcPr>
            <w:tcW w:type="dxa" w:w="4968"/>
          </w:tcPr>
          <w:p>
            <w:pPr>
              <w:spacing w:after="40"/>
            </w:pPr>
            <w:r/>
            <w:r>
              <w:rPr>
                <w:sz w:val="17"/>
              </w:rPr>
              <w:t>response_days</w:t>
            </w:r>
          </w:p>
        </w:tc>
        <w:tc>
          <w:tcPr>
            <w:tcW w:type="dxa" w:w="4968"/>
          </w:tcPr>
          <w:p>
            <w:pPr>
              <w:spacing w:after="40"/>
            </w:pPr>
            <w:r/>
            <w:r>
              <w:rPr>
                <w:sz w:val="17"/>
              </w:rPr>
              <w:t>30</w:t>
            </w:r>
          </w:p>
        </w:tc>
      </w:tr>
      <w:tr>
        <w:trPr>
          <w:cantSplit/>
        </w:trPr>
        <w:tc>
          <w:tcPr>
            <w:tcW w:type="dxa" w:w="4968"/>
          </w:tcPr>
          <w:p>
            <w:pPr>
              <w:spacing w:after="40"/>
            </w:pPr>
            <w:r/>
            <w:r>
              <w:rPr>
                <w:sz w:val="17"/>
              </w:rPr>
              <w:t>never_requested</w:t>
            </w:r>
          </w:p>
        </w:tc>
        <w:tc>
          <w:tcPr>
            <w:tcW w:type="dxa" w:w="4968"/>
          </w:tcPr>
          <w:p>
            <w:pPr>
              <w:spacing w:after="40"/>
            </w:pPr>
            <w:r/>
            <w:r>
              <w:rPr>
                <w:sz w:val="17"/>
              </w:rPr>
              <w:t>identity document; bank details; income information; mortgage documents; nationality; age; deposit</w:t>
            </w:r>
          </w:p>
        </w:tc>
      </w:tr>
      <w:tr>
        <w:trPr>
          <w:cantSplit/>
        </w:trPr>
        <w:tc>
          <w:tcPr>
            <w:tcW w:type="dxa" w:w="4968"/>
          </w:tcPr>
          <w:p>
            <w:pPr>
              <w:spacing w:after="40"/>
            </w:pPr>
            <w:r/>
            <w:r>
              <w:rPr>
                <w:sz w:val="17"/>
              </w:rPr>
              <w:t>confirmation_meaning</w:t>
            </w:r>
          </w:p>
        </w:tc>
        <w:tc>
          <w:tcPr>
            <w:tcW w:type="dxa" w:w="4968"/>
          </w:tcPr>
          <w:p>
            <w:pPr>
              <w:spacing w:after="40"/>
            </w:pPr>
            <w:r/>
            <w:r>
              <w:rPr>
                <w:sz w:val="17"/>
              </w:rPr>
              <w:t>agreement to continue booking the viewing; not consent to advertising or to training</w:t>
            </w:r>
          </w:p>
        </w:tc>
      </w:tr>
      <w:tr>
        <w:trPr>
          <w:cantSplit/>
        </w:trPr>
        <w:tc>
          <w:tcPr>
            <w:tcW w:type="dxa" w:w="4968"/>
          </w:tcPr>
          <w:p>
            <w:pPr>
              <w:spacing w:after="40"/>
            </w:pPr>
            <w:r/>
            <w:r>
              <w:rPr>
                <w:sz w:val="17"/>
              </w:rPr>
              <w:t>receipt_copy_channel</w:t>
            </w:r>
          </w:p>
        </w:tc>
        <w:tc>
          <w:tcPr>
            <w:tcW w:type="dxa" w:w="4968"/>
          </w:tcPr>
          <w:p>
            <w:pPr>
              <w:spacing w:after="40"/>
            </w:pPr>
            <w:r/>
            <w:r>
              <w:rPr>
                <w:sz w:val="17"/>
              </w:rPr>
              <w:t>support@marinakeysrealestate.com</w:t>
            </w:r>
          </w:p>
        </w:tc>
      </w:tr>
      <w:tr>
        <w:trPr>
          <w:cantSplit/>
        </w:trPr>
        <w:tc>
          <w:tcPr>
            <w:tcW w:type="dxa" w:w="4968"/>
          </w:tcPr>
          <w:p>
            <w:pPr>
              <w:spacing w:after="40"/>
            </w:pPr>
            <w:r/>
            <w:r>
              <w:rPr>
                <w:sz w:val="17"/>
              </w:rPr>
              <w:t>fallback</w:t>
            </w:r>
          </w:p>
        </w:tc>
        <w:tc>
          <w:tcPr>
            <w:tcW w:type="dxa" w:w="4968"/>
          </w:tcPr>
          <w:p>
            <w:pPr>
              <w:spacing w:after="40"/>
            </w:pPr>
            <w:r/>
            <w:r>
              <w:rPr>
                <w:sz w:val="17"/>
              </w:rPr>
              <w:t>a question outside the card: pass it to the privacy@ channel, do not answer from memory</w:t>
            </w:r>
          </w:p>
        </w:tc>
      </w:tr>
    </w:tbl>
    <w:p>
      <w:pPr>
        <w:spacing w:after="40"/>
      </w:pPr>
    </w:p>
    <w:sectPr w:rsidR="00373427" w:rsidSect="002D165F">
      <w:headerReference w:type="even" r:id="rId14"/>
      <w:headerReference w:type="default" r:id="rId15"/>
      <w:footerReference w:type="even" r:id="rId16"/>
      <w:footerReference w:type="default" r:id="rId17"/>
      <w:headerReference w:type="first" r:id="rId18"/>
      <w:footerReference w:type="first" r:id="rId19"/>
      <w:type w:val="continuous"/>
      <w:pgSz w:w="12240" w:h="15840"/>
      <w:pgMar w:top="979" w:right="1152" w:bottom="936" w:left="1152"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220E40" w14:textId="77777777" w:rsidR="004641DF" w:rsidRDefault="004641DF">
      <w:pPr>
        <w:spacing w:after="0" w:line="240" w:lineRule="auto"/>
      </w:pPr>
      <w:r>
        <w:separator/>
      </w:r>
    </w:p>
  </w:endnote>
  <w:endnote w:type="continuationSeparator" w:id="0">
    <w:p w14:paraId="3CD47446" w14:textId="77777777" w:rsidR="004641DF" w:rsidRDefault="004641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http://schemas.openxmlformats.org/wordprocessingml/2006/main">
  <w:p/>
</w:ftr>
</file>

<file path=word/footer2.xml><?xml version="1.0" encoding="utf-8"?>
<w:ftr xmlns:w="http://schemas.openxmlformats.org/wordprocessingml/2006/main">
  <w:p/>
</w:ftr>
</file>

<file path=word/footer3.xml><?xml version="1.0" encoding="utf-8"?>
<w:ftr xmlns:w="http://schemas.openxmlformats.org/wordprocessingml/2006/main">
  <w:p/>
</w:ftr>
</file>

<file path=word/footer4.xml><?xml version="1.0" encoding="utf-8"?>
<w:ftr xmlns:w="http://schemas.openxmlformats.org/wordprocessingml/2006/main">
  <w:p/>
</w:ftr>
</file>

<file path=word/footer5.xml><?xml version="1.0" encoding="utf-8"?>
<w:ftr xmlns:w="http://schemas.openxmlformats.org/wordprocessingml/2006/main">
  <w:p/>
</w:ftr>
</file>

<file path=word/footer6.xml><?xml version="1.0" encoding="utf-8"?>
<w:ftr xmlns:w="http://schemas.openxmlformats.org/wordprocessingml/2006/main">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EF18D6" w14:textId="77777777" w:rsidR="004641DF" w:rsidRDefault="004641DF">
      <w:pPr>
        <w:spacing w:after="0" w:line="240" w:lineRule="auto"/>
      </w:pPr>
      <w:r>
        <w:separator/>
      </w:r>
    </w:p>
  </w:footnote>
  <w:footnote w:type="continuationSeparator" w:id="0">
    <w:p w14:paraId="21270D06" w14:textId="77777777" w:rsidR="004641DF" w:rsidRDefault="004641DF">
      <w:pPr>
        <w:spacing w:after="0" w:line="240" w:lineRule="auto"/>
      </w:pPr>
      <w:r>
        <w:continuationSeparator/>
      </w:r>
    </w:p>
  </w:footnote>
</w:footnotes>
</file>

<file path=word/header1.xml><?xml version="1.0" encoding="utf-8"?>
<w:hdr xmlns:w="http://schemas.openxmlformats.org/wordprocessingml/2006/main">
  <w:p/>
</w:hdr>
</file>

<file path=word/header2.xml><?xml version="1.0" encoding="utf-8"?>
<w:hdr xmlns:w="http://schemas.openxmlformats.org/wordprocessingml/2006/main">
  <w:p/>
</w:hdr>
</file>

<file path=word/header3.xml><?xml version="1.0" encoding="utf-8"?>
<w:hdr xmlns:w="http://schemas.openxmlformats.org/wordprocessingml/2006/main">
  <w:p/>
</w:hdr>
</file>

<file path=word/header4.xml><?xml version="1.0" encoding="utf-8"?>
<w:hdr xmlns:w="http://schemas.openxmlformats.org/wordprocessingml/2006/main">
  <w:p/>
</w:hdr>
</file>

<file path=word/header5.xml><?xml version="1.0" encoding="utf-8"?>
<w:hdr xmlns:w="http://schemas.openxmlformats.org/wordprocessingml/2006/main">
  <w:p/>
</w:hdr>
</file>

<file path=word/header6.xml><?xml version="1.0" encoding="utf-8"?>
<w:hdr xmlns:w="http://schemas.openxmlformats.org/wordprocessingml/2006/main">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036"/>
    <w:rsid w:val="00034616"/>
    <w:rsid w:val="00035280"/>
    <w:rsid w:val="00056429"/>
    <w:rsid w:val="0006063C"/>
    <w:rsid w:val="00132FC5"/>
    <w:rsid w:val="0015074B"/>
    <w:rsid w:val="001809F7"/>
    <w:rsid w:val="0029639D"/>
    <w:rsid w:val="002C629D"/>
    <w:rsid w:val="002D165F"/>
    <w:rsid w:val="0030369B"/>
    <w:rsid w:val="00326F90"/>
    <w:rsid w:val="00341ACF"/>
    <w:rsid w:val="00357834"/>
    <w:rsid w:val="00373427"/>
    <w:rsid w:val="003C3014"/>
    <w:rsid w:val="003E5B47"/>
    <w:rsid w:val="0043017C"/>
    <w:rsid w:val="004641DF"/>
    <w:rsid w:val="00505E09"/>
    <w:rsid w:val="0052633D"/>
    <w:rsid w:val="0058476C"/>
    <w:rsid w:val="005970B5"/>
    <w:rsid w:val="005B35E7"/>
    <w:rsid w:val="006C6203"/>
    <w:rsid w:val="006F166F"/>
    <w:rsid w:val="00712B4A"/>
    <w:rsid w:val="0078307F"/>
    <w:rsid w:val="007A03A5"/>
    <w:rsid w:val="00864992"/>
    <w:rsid w:val="00881131"/>
    <w:rsid w:val="00887108"/>
    <w:rsid w:val="0089267A"/>
    <w:rsid w:val="009B1DC9"/>
    <w:rsid w:val="00A217B9"/>
    <w:rsid w:val="00A37CAB"/>
    <w:rsid w:val="00A51CBF"/>
    <w:rsid w:val="00AA1D8D"/>
    <w:rsid w:val="00AB309E"/>
    <w:rsid w:val="00AB36AC"/>
    <w:rsid w:val="00AD2345"/>
    <w:rsid w:val="00B41EB0"/>
    <w:rsid w:val="00B47730"/>
    <w:rsid w:val="00B647D0"/>
    <w:rsid w:val="00B9231E"/>
    <w:rsid w:val="00B93AFE"/>
    <w:rsid w:val="00B9523D"/>
    <w:rsid w:val="00BC7AC7"/>
    <w:rsid w:val="00BD3D66"/>
    <w:rsid w:val="00C20830"/>
    <w:rsid w:val="00C8163A"/>
    <w:rsid w:val="00C85FA9"/>
    <w:rsid w:val="00CB040A"/>
    <w:rsid w:val="00CB0664"/>
    <w:rsid w:val="00CB17E9"/>
    <w:rsid w:val="00D011D6"/>
    <w:rsid w:val="00D315C9"/>
    <w:rsid w:val="00D61A48"/>
    <w:rsid w:val="00D75E57"/>
    <w:rsid w:val="00D9121D"/>
    <w:rsid w:val="00E128CE"/>
    <w:rsid w:val="00E9728E"/>
    <w:rsid w:val="00ED525E"/>
    <w:rsid w:val="00F20822"/>
    <w:rsid w:val="00F423B8"/>
    <w:rsid w:val="00FA083B"/>
    <w:rsid w:val="00FC693F"/>
    <w:rsid w:val="00FF3BB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4B5DCC"/>
  <w14:defaultImageDpi w14:val="300"/>
  <w15:docId w15:val="{D328CEAB-912B-431E-8C42-C6A2F00CD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60" w:line="259" w:lineRule="auto"/>
    </w:pPr>
    <w:rPr>
      <w:rFonts w:ascii="Calibri" w:hAnsi="Calibri"/>
      <w:color w:val="171717"/>
      <w:sz w:val="21"/>
    </w:rPr>
  </w:style>
  <w:style w:type="paragraph" w:styleId="1">
    <w:name w:val="heading 1"/>
    <w:basedOn w:val="a1"/>
    <w:next w:val="a1"/>
    <w:link w:val="10"/>
    <w:uiPriority w:val="9"/>
    <w:qFormat/>
    <w:rsid w:val="00FC693F"/>
    <w:pPr>
      <w:keepNext/>
      <w:keepLines/>
      <w:spacing w:before="160" w:after="80"/>
      <w:outlineLvl w:val="0"/>
    </w:pPr>
    <w:rPr>
      <w:rFonts w:asciiTheme="majorHAnsi" w:eastAsiaTheme="majorEastAsia" w:hAnsiTheme="majorHAnsi" w:cstheme="majorBidi"/>
      <w:b/>
      <w:bCs/>
      <w:sz w:val="33"/>
      <w:szCs w:val="28"/>
    </w:rPr>
  </w:style>
  <w:style w:type="paragraph" w:styleId="21">
    <w:name w:val="heading 2"/>
    <w:basedOn w:val="a1"/>
    <w:next w:val="a1"/>
    <w:link w:val="22"/>
    <w:uiPriority w:val="9"/>
    <w:unhideWhenUsed/>
    <w:qFormat/>
    <w:rsid w:val="00FC693F"/>
    <w:pPr>
      <w:keepNext/>
      <w:keepLines/>
      <w:spacing w:before="180" w:after="80"/>
      <w:outlineLvl w:val="1"/>
    </w:pPr>
    <w:rPr>
      <w:rFonts w:asciiTheme="majorHAnsi" w:eastAsiaTheme="majorEastAsia" w:hAnsiTheme="majorHAnsi" w:cstheme="majorBidi"/>
      <w:b/>
      <w:bCs/>
      <w:color w:val="333333"/>
      <w:sz w:val="27"/>
      <w:szCs w:val="26"/>
    </w:rPr>
  </w:style>
  <w:style w:type="paragraph" w:styleId="31">
    <w:name w:val="heading 3"/>
    <w:basedOn w:val="a1"/>
    <w:next w:val="a1"/>
    <w:link w:val="32"/>
    <w:uiPriority w:val="9"/>
    <w:unhideWhenUsed/>
    <w:qFormat/>
    <w:rsid w:val="00FC693F"/>
    <w:pPr>
      <w:keepNext/>
      <w:keepLines/>
      <w:spacing w:before="160"/>
      <w:outlineLvl w:val="2"/>
    </w:pPr>
    <w:rPr>
      <w:rFonts w:asciiTheme="majorHAnsi" w:eastAsiaTheme="majorEastAsia" w:hAnsiTheme="majorHAnsi" w:cstheme="majorBidi"/>
      <w:b/>
      <w:bCs/>
      <w:color w:val="1F4D78"/>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lause">
    <w:name w:val="Clause"/>
    <w:pPr>
      <w:keepLines/>
      <w:spacing w:after="30" w:line="240" w:lineRule="auto"/>
    </w:pPr>
    <w:rPr>
      <w:rFonts w:ascii="Calibri" w:hAnsi="Calibri"/>
      <w:color w:val="000000"/>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787063">
      <w:bodyDiv w:val="1"/>
      <w:marLeft w:val="0"/>
      <w:marRight w:val="0"/>
      <w:marTop w:val="0"/>
      <w:marBottom w:val="0"/>
      <w:divBdr>
        <w:top w:val="none" w:sz="0" w:space="0" w:color="auto"/>
        <w:left w:val="none" w:sz="0" w:space="0" w:color="auto"/>
        <w:bottom w:val="none" w:sz="0" w:space="0" w:color="auto"/>
        <w:right w:val="none" w:sz="0" w:space="0" w:color="auto"/>
      </w:divBdr>
    </w:div>
    <w:div w:id="405304681">
      <w:bodyDiv w:val="1"/>
      <w:marLeft w:val="0"/>
      <w:marRight w:val="0"/>
      <w:marTop w:val="0"/>
      <w:marBottom w:val="0"/>
      <w:divBdr>
        <w:top w:val="none" w:sz="0" w:space="0" w:color="auto"/>
        <w:left w:val="none" w:sz="0" w:space="0" w:color="auto"/>
        <w:bottom w:val="none" w:sz="0" w:space="0" w:color="auto"/>
        <w:right w:val="none" w:sz="0" w:space="0" w:color="auto"/>
      </w:divBdr>
    </w:div>
    <w:div w:id="1036925995">
      <w:bodyDiv w:val="1"/>
      <w:marLeft w:val="0"/>
      <w:marRight w:val="0"/>
      <w:marTop w:val="0"/>
      <w:marBottom w:val="0"/>
      <w:divBdr>
        <w:top w:val="none" w:sz="0" w:space="0" w:color="auto"/>
        <w:left w:val="none" w:sz="0" w:space="0" w:color="auto"/>
        <w:bottom w:val="none" w:sz="0" w:space="0" w:color="auto"/>
        <w:right w:val="none" w:sz="0" w:space="0" w:color="auto"/>
      </w:divBdr>
    </w:div>
    <w:div w:id="1204513037">
      <w:bodyDiv w:val="1"/>
      <w:marLeft w:val="0"/>
      <w:marRight w:val="0"/>
      <w:marTop w:val="0"/>
      <w:marBottom w:val="0"/>
      <w:divBdr>
        <w:top w:val="none" w:sz="0" w:space="0" w:color="auto"/>
        <w:left w:val="none" w:sz="0" w:space="0" w:color="auto"/>
        <w:bottom w:val="none" w:sz="0" w:space="0" w:color="auto"/>
        <w:right w:val="none" w:sz="0" w:space="0" w:color="auto"/>
      </w:divBdr>
    </w:div>
    <w:div w:id="1215506291">
      <w:bodyDiv w:val="1"/>
      <w:marLeft w:val="0"/>
      <w:marRight w:val="0"/>
      <w:marTop w:val="0"/>
      <w:marBottom w:val="0"/>
      <w:divBdr>
        <w:top w:val="none" w:sz="0" w:space="0" w:color="auto"/>
        <w:left w:val="none" w:sz="0" w:space="0" w:color="auto"/>
        <w:bottom w:val="none" w:sz="0" w:space="0" w:color="auto"/>
        <w:right w:val="none" w:sz="0" w:space="0" w:color="auto"/>
      </w:divBdr>
    </w:div>
    <w:div w:id="1222016452">
      <w:bodyDiv w:val="1"/>
      <w:marLeft w:val="0"/>
      <w:marRight w:val="0"/>
      <w:marTop w:val="0"/>
      <w:marBottom w:val="0"/>
      <w:divBdr>
        <w:top w:val="none" w:sz="0" w:space="0" w:color="auto"/>
        <w:left w:val="none" w:sz="0" w:space="0" w:color="auto"/>
        <w:bottom w:val="none" w:sz="0" w:space="0" w:color="auto"/>
        <w:right w:val="none" w:sz="0" w:space="0" w:color="auto"/>
      </w:divBdr>
    </w:div>
    <w:div w:id="1270897800">
      <w:bodyDiv w:val="1"/>
      <w:marLeft w:val="0"/>
      <w:marRight w:val="0"/>
      <w:marTop w:val="0"/>
      <w:marBottom w:val="0"/>
      <w:divBdr>
        <w:top w:val="none" w:sz="0" w:space="0" w:color="auto"/>
        <w:left w:val="none" w:sz="0" w:space="0" w:color="auto"/>
        <w:bottom w:val="none" w:sz="0" w:space="0" w:color="auto"/>
        <w:right w:val="none" w:sz="0" w:space="0" w:color="auto"/>
      </w:divBdr>
    </w:div>
    <w:div w:id="1777169816">
      <w:bodyDiv w:val="1"/>
      <w:marLeft w:val="0"/>
      <w:marRight w:val="0"/>
      <w:marTop w:val="0"/>
      <w:marBottom w:val="0"/>
      <w:divBdr>
        <w:top w:val="none" w:sz="0" w:space="0" w:color="auto"/>
        <w:left w:val="none" w:sz="0" w:space="0" w:color="auto"/>
        <w:bottom w:val="none" w:sz="0" w:space="0" w:color="auto"/>
        <w:right w:val="none" w:sz="0" w:space="0" w:color="auto"/>
      </w:divBdr>
    </w:div>
    <w:div w:id="19549430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417</TotalTime>
  <Pages>1</Pages>
  <Words>2544</Words>
  <Characters>14503</Characters>
  <Application>Microsoft Office Word</Application>
  <DocSecurity>0</DocSecurity>
  <Lines>120</Lines>
  <Paragraphs>34</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Модельная ИИ-политика организации</vt:lpstr>
      <vt:lpstr/>
    </vt:vector>
  </TitlesOfParts>
  <Manager/>
  <Company/>
  <LinksUpToDate>false</LinksUpToDate>
  <CharactersWithSpaces>17013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02_AI Policy_Marina Keys Realty v2.0</dc:title>
  <dc:subject/>
  <dc:creator/>
  <cp:keywords/>
  <dc:description/>
  <cp:lastModifiedBy/>
  <cp:revision>25</cp:revision>
  <dcterms:created xsi:type="dcterms:W3CDTF">2013-12-23T23:15:00Z</dcterms:created>
  <dcterms:modified xsi:type="dcterms:W3CDTF">2026-08-24T17:40:00Z</dcterms:modified>
  <cp:category/>
</cp:coreProperties>
</file>